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1.xml" ContentType="application/vnd.openxmlformats-officedocument.drawingml.chartshapes+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45793" w14:textId="1D744E1D" w:rsidR="005D4190" w:rsidRDefault="00944CBB" w:rsidP="006E763D">
      <w:pPr>
        <w:rPr>
          <w:rFonts w:cs="Times New Roman"/>
        </w:rPr>
      </w:pPr>
      <w:r>
        <w:rPr>
          <w:noProof/>
        </w:rPr>
        <w:drawing>
          <wp:inline distT="0" distB="0" distL="0" distR="0" wp14:anchorId="49C13627" wp14:editId="5D0058B6">
            <wp:extent cx="5544185" cy="880110"/>
            <wp:effectExtent l="0" t="0" r="0" b="0"/>
            <wp:docPr id="249467020"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467020" name="Picture 1" descr="A blue sign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4185" cy="880110"/>
                    </a:xfrm>
                    <a:prstGeom prst="rect">
                      <a:avLst/>
                    </a:prstGeom>
                    <a:noFill/>
                    <a:ln>
                      <a:noFill/>
                    </a:ln>
                  </pic:spPr>
                </pic:pic>
              </a:graphicData>
            </a:graphic>
          </wp:inline>
        </w:drawing>
      </w:r>
    </w:p>
    <w:p w14:paraId="66406C34" w14:textId="3F910973" w:rsidR="004B4D88" w:rsidRPr="00F04A39" w:rsidRDefault="004B4D88" w:rsidP="004B4D88">
      <w:pPr>
        <w:pStyle w:val="AuthorNote"/>
        <w:jc w:val="right"/>
        <w:rPr>
          <w:lang w:val="fr-FR"/>
        </w:rPr>
      </w:pPr>
      <w:r w:rsidRPr="00F04A39">
        <w:rPr>
          <w:lang w:val="fr-FR"/>
        </w:rPr>
        <w:t>DOI: 10.22144/ctu.jen.20</w:t>
      </w:r>
      <w:r w:rsidR="00E27277" w:rsidRPr="00F04A39">
        <w:rPr>
          <w:lang w:val="fr-FR"/>
        </w:rPr>
        <w:t>2</w:t>
      </w:r>
      <w:r w:rsidR="00AD0E7A">
        <w:rPr>
          <w:lang w:val="fr-FR"/>
        </w:rPr>
        <w:t>3</w:t>
      </w:r>
      <w:r w:rsidR="000E326B">
        <w:rPr>
          <w:lang w:val="fr-FR"/>
        </w:rPr>
        <w:t>.</w:t>
      </w:r>
      <w:r w:rsidR="00C96A7C">
        <w:rPr>
          <w:lang w:val="fr-FR"/>
        </w:rPr>
        <w:t>x</w:t>
      </w:r>
    </w:p>
    <w:p w14:paraId="508403DF" w14:textId="77777777" w:rsidR="004547E7" w:rsidRPr="00F84E67" w:rsidRDefault="004547E7" w:rsidP="004547E7">
      <w:pPr>
        <w:pStyle w:val="Title"/>
        <w:rPr>
          <w:lang w:val="en-GB"/>
        </w:rPr>
      </w:pPr>
      <w:r w:rsidRPr="00F84E67">
        <w:rPr>
          <w:lang w:val="en-GB"/>
        </w:rPr>
        <w:t>Synthesis and application of Fe</w:t>
      </w:r>
      <w:r w:rsidRPr="00F84E67">
        <w:rPr>
          <w:vertAlign w:val="subscript"/>
          <w:lang w:val="en-GB"/>
        </w:rPr>
        <w:t>3</w:t>
      </w:r>
      <w:r w:rsidRPr="00F84E67">
        <w:rPr>
          <w:lang w:val="en-GB"/>
        </w:rPr>
        <w:t>O</w:t>
      </w:r>
      <w:r w:rsidRPr="00F84E67">
        <w:rPr>
          <w:vertAlign w:val="subscript"/>
          <w:lang w:val="en-GB"/>
        </w:rPr>
        <w:t>4</w:t>
      </w:r>
      <w:r w:rsidRPr="00F84E67">
        <w:rPr>
          <w:lang w:val="en-GB"/>
        </w:rPr>
        <w:t>/GO/PVP composite material for methylene blue adsorption</w:t>
      </w:r>
    </w:p>
    <w:p w14:paraId="73955AF3" w14:textId="41F73764" w:rsidR="004547E7" w:rsidRPr="00F84E67" w:rsidRDefault="004547E7" w:rsidP="004547E7">
      <w:pPr>
        <w:pStyle w:val="Author"/>
        <w:rPr>
          <w:vertAlign w:val="subscript"/>
          <w:lang w:val="fr-FR"/>
        </w:rPr>
      </w:pPr>
      <w:r w:rsidRPr="00F84E67">
        <w:rPr>
          <w:lang w:val="fr-FR"/>
        </w:rPr>
        <w:t>Luong Huynh Vu Thanh</w:t>
      </w:r>
      <w:r w:rsidRPr="00F84E67">
        <w:rPr>
          <w:vertAlign w:val="superscript"/>
          <w:lang w:val="fr-FR"/>
        </w:rPr>
        <w:t>1,2*</w:t>
      </w:r>
      <w:r w:rsidRPr="00F84E67">
        <w:rPr>
          <w:lang w:val="fr-FR"/>
        </w:rPr>
        <w:t>, Nguyen Thi Nhu Y</w:t>
      </w:r>
      <w:r w:rsidRPr="00F84E67">
        <w:rPr>
          <w:vertAlign w:val="superscript"/>
          <w:lang w:val="fr-FR"/>
        </w:rPr>
        <w:t>3</w:t>
      </w:r>
      <w:r w:rsidRPr="00F84E67">
        <w:rPr>
          <w:lang w:val="fr-FR"/>
        </w:rPr>
        <w:t>, Nguyen Van Kiet</w:t>
      </w:r>
      <w:r w:rsidRPr="00F84E67">
        <w:rPr>
          <w:vertAlign w:val="superscript"/>
          <w:lang w:val="fr-FR"/>
        </w:rPr>
        <w:t>3</w:t>
      </w:r>
      <w:r w:rsidRPr="00F84E67">
        <w:rPr>
          <w:lang w:val="fr-FR"/>
        </w:rPr>
        <w:t>, Ngo Truong Ngoc Mai</w:t>
      </w:r>
      <w:r w:rsidRPr="00F84E67">
        <w:rPr>
          <w:vertAlign w:val="superscript"/>
          <w:lang w:val="fr-FR"/>
        </w:rPr>
        <w:t>2</w:t>
      </w:r>
      <w:r w:rsidRPr="00720B28">
        <w:t xml:space="preserve">, </w:t>
      </w:r>
      <w:r w:rsidRPr="00F84E67">
        <w:rPr>
          <w:lang w:val="fr-FR"/>
        </w:rPr>
        <w:t>Nguyen Nhu Ngoc</w:t>
      </w:r>
      <w:r w:rsidRPr="00F84E67">
        <w:rPr>
          <w:vertAlign w:val="superscript"/>
          <w:lang w:val="fr-FR"/>
        </w:rPr>
        <w:t>2</w:t>
      </w:r>
      <w:r w:rsidR="00720B28">
        <w:rPr>
          <w:lang w:val="fr-FR"/>
        </w:rPr>
        <w:t>,</w:t>
      </w:r>
      <w:r w:rsidRPr="00F84E67">
        <w:rPr>
          <w:lang w:val="fr-FR"/>
        </w:rPr>
        <w:t xml:space="preserve"> and Ly Phuong Thao</w:t>
      </w:r>
      <w:r w:rsidRPr="00F84E67">
        <w:rPr>
          <w:vertAlign w:val="superscript"/>
          <w:lang w:val="fr-FR"/>
        </w:rPr>
        <w:t>2</w:t>
      </w:r>
    </w:p>
    <w:p w14:paraId="43CF0D6B" w14:textId="77777777" w:rsidR="004547E7" w:rsidRPr="004547E7" w:rsidRDefault="004547E7" w:rsidP="004547E7">
      <w:pPr>
        <w:pStyle w:val="AuthorNote"/>
      </w:pPr>
      <w:r w:rsidRPr="004547E7">
        <w:rPr>
          <w:vertAlign w:val="superscript"/>
        </w:rPr>
        <w:t>1</w:t>
      </w:r>
      <w:r w:rsidRPr="004547E7">
        <w:t>Applied Chemical Engineering Lab, College of Engineering Technology, Can Tho University, Viet Nam</w:t>
      </w:r>
    </w:p>
    <w:p w14:paraId="7942A67F" w14:textId="77777777" w:rsidR="004547E7" w:rsidRPr="004547E7" w:rsidRDefault="004547E7" w:rsidP="004547E7">
      <w:pPr>
        <w:pStyle w:val="AuthorNote"/>
      </w:pPr>
      <w:r w:rsidRPr="004547E7">
        <w:rPr>
          <w:vertAlign w:val="superscript"/>
        </w:rPr>
        <w:t>2</w:t>
      </w:r>
      <w:r w:rsidRPr="004547E7">
        <w:t>Department of Chemical Engineering, College of Engineering Technology, Can Tho University, Viet Nam</w:t>
      </w:r>
    </w:p>
    <w:p w14:paraId="0CFA542B" w14:textId="77777777" w:rsidR="004547E7" w:rsidRPr="004547E7" w:rsidRDefault="004547E7" w:rsidP="004547E7">
      <w:pPr>
        <w:pStyle w:val="AuthorNote"/>
      </w:pPr>
      <w:r w:rsidRPr="004547E7">
        <w:rPr>
          <w:vertAlign w:val="superscript"/>
        </w:rPr>
        <w:t>3</w:t>
      </w:r>
      <w:r w:rsidRPr="004547E7">
        <w:t>Can Tho University of Technology, Viet Nam</w:t>
      </w:r>
    </w:p>
    <w:p w14:paraId="7A7BBD2D" w14:textId="3BB18659" w:rsidR="004547E7" w:rsidRPr="004547E7" w:rsidRDefault="004547E7" w:rsidP="00B9119C">
      <w:pPr>
        <w:pStyle w:val="AuthorNote"/>
        <w:spacing w:after="60"/>
      </w:pPr>
      <w:r w:rsidRPr="004547E7">
        <w:t>*</w:t>
      </w:r>
      <w:r w:rsidR="00B9119C" w:rsidRPr="00B9119C">
        <w:t>Corresponding author</w:t>
      </w:r>
      <w:r w:rsidRPr="004547E7">
        <w:t xml:space="preserve"> </w:t>
      </w:r>
      <w:r w:rsidR="008705F3">
        <w:t>(</w:t>
      </w:r>
      <w:r w:rsidR="00B9119C" w:rsidRPr="00B9119C">
        <w:t>lhvthanh@ctu.edu.vn</w:t>
      </w:r>
      <w:r w:rsidRPr="004547E7">
        <w:t>)</w:t>
      </w:r>
    </w:p>
    <w:tbl>
      <w:tblPr>
        <w:tblStyle w:val="TableGrid"/>
        <w:tblW w:w="0" w:type="auto"/>
        <w:tblLook w:val="04A0" w:firstRow="1" w:lastRow="0" w:firstColumn="1" w:lastColumn="0" w:noHBand="0" w:noVBand="1"/>
      </w:tblPr>
      <w:tblGrid>
        <w:gridCol w:w="2455"/>
        <w:gridCol w:w="312"/>
        <w:gridCol w:w="5964"/>
      </w:tblGrid>
      <w:tr w:rsidR="00A82686" w:rsidRPr="00411E62" w14:paraId="549D7BD8" w14:textId="77777777" w:rsidTr="00A82686">
        <w:trPr>
          <w:trHeight w:val="138"/>
        </w:trPr>
        <w:tc>
          <w:tcPr>
            <w:tcW w:w="2455" w:type="dxa"/>
            <w:tcBorders>
              <w:top w:val="single" w:sz="12" w:space="0" w:color="auto"/>
              <w:bottom w:val="single" w:sz="12" w:space="0" w:color="auto"/>
            </w:tcBorders>
          </w:tcPr>
          <w:p w14:paraId="7981B8EA" w14:textId="77777777" w:rsidR="00A82686" w:rsidRPr="00697F8B" w:rsidRDefault="00A82686" w:rsidP="001D0B82">
            <w:pPr>
              <w:pStyle w:val="Subtitle"/>
              <w:ind w:firstLine="0"/>
            </w:pPr>
            <w:r w:rsidRPr="004815AE">
              <w:rPr>
                <w:caps w:val="0"/>
                <w:lang w:val="de-DE"/>
              </w:rPr>
              <w:t>Article info</w:t>
            </w:r>
            <w:r>
              <w:rPr>
                <w:caps w:val="0"/>
                <w:lang w:val="de-DE"/>
              </w:rPr>
              <w:t>.</w:t>
            </w:r>
          </w:p>
        </w:tc>
        <w:tc>
          <w:tcPr>
            <w:tcW w:w="312" w:type="dxa"/>
            <w:tcBorders>
              <w:top w:val="single" w:sz="12" w:space="0" w:color="auto"/>
              <w:bottom w:val="nil"/>
            </w:tcBorders>
          </w:tcPr>
          <w:p w14:paraId="009FDBCD" w14:textId="77777777" w:rsidR="00A82686" w:rsidRDefault="00A82686" w:rsidP="001D0B82">
            <w:pPr>
              <w:pStyle w:val="Subtitle"/>
              <w:rPr>
                <w:lang w:val="de-DE"/>
              </w:rPr>
            </w:pPr>
          </w:p>
        </w:tc>
        <w:tc>
          <w:tcPr>
            <w:tcW w:w="5964" w:type="dxa"/>
            <w:tcBorders>
              <w:top w:val="single" w:sz="12" w:space="0" w:color="auto"/>
              <w:bottom w:val="single" w:sz="12" w:space="0" w:color="auto"/>
            </w:tcBorders>
          </w:tcPr>
          <w:p w14:paraId="0FC00571" w14:textId="77777777" w:rsidR="00A82686" w:rsidRPr="00813C17" w:rsidRDefault="00A82686" w:rsidP="001D0B82">
            <w:pPr>
              <w:pStyle w:val="Subtitle"/>
              <w:ind w:firstLine="0"/>
              <w:rPr>
                <w:lang w:val="de-DE"/>
              </w:rPr>
            </w:pPr>
            <w:r>
              <w:rPr>
                <w:lang w:val="de-DE"/>
              </w:rPr>
              <w:t>ABSTRACT</w:t>
            </w:r>
          </w:p>
        </w:tc>
      </w:tr>
      <w:tr w:rsidR="00A82686" w:rsidRPr="00411E62" w14:paraId="342E2ECB" w14:textId="77777777" w:rsidTr="00A82686">
        <w:trPr>
          <w:trHeight w:val="1050"/>
        </w:trPr>
        <w:tc>
          <w:tcPr>
            <w:tcW w:w="2455" w:type="dxa"/>
            <w:tcBorders>
              <w:top w:val="single" w:sz="12" w:space="0" w:color="auto"/>
              <w:bottom w:val="single" w:sz="12" w:space="0" w:color="auto"/>
            </w:tcBorders>
          </w:tcPr>
          <w:p w14:paraId="38A4F0DD" w14:textId="77777777" w:rsidR="00A82686" w:rsidRPr="004815AE" w:rsidRDefault="00A82686" w:rsidP="001D0B82">
            <w:pPr>
              <w:spacing w:before="120"/>
              <w:rPr>
                <w:i/>
                <w:sz w:val="19"/>
                <w:szCs w:val="19"/>
              </w:rPr>
            </w:pPr>
            <w:r w:rsidRPr="004815AE">
              <w:rPr>
                <w:i/>
                <w:sz w:val="19"/>
                <w:szCs w:val="19"/>
              </w:rPr>
              <w:t xml:space="preserve">Received </w:t>
            </w:r>
            <w:r>
              <w:rPr>
                <w:i/>
                <w:sz w:val="19"/>
                <w:szCs w:val="19"/>
              </w:rPr>
              <w:t>14 Jun 2022</w:t>
            </w:r>
            <w:r>
              <w:rPr>
                <w:i/>
                <w:sz w:val="19"/>
                <w:szCs w:val="19"/>
              </w:rPr>
              <w:br/>
              <w:t>Revised 30 Sep 2022</w:t>
            </w:r>
          </w:p>
          <w:p w14:paraId="2AB912EC" w14:textId="77777777" w:rsidR="00A82686" w:rsidRPr="004815AE" w:rsidRDefault="00A82686" w:rsidP="001D0B82">
            <w:r w:rsidRPr="004815AE">
              <w:rPr>
                <w:i/>
                <w:sz w:val="19"/>
                <w:szCs w:val="19"/>
              </w:rPr>
              <w:t xml:space="preserve">Accepted </w:t>
            </w:r>
            <w:r>
              <w:rPr>
                <w:i/>
                <w:sz w:val="19"/>
                <w:szCs w:val="19"/>
              </w:rPr>
              <w:t>11 Mar 2023</w:t>
            </w:r>
          </w:p>
        </w:tc>
        <w:tc>
          <w:tcPr>
            <w:tcW w:w="312" w:type="dxa"/>
            <w:vMerge w:val="restart"/>
            <w:tcBorders>
              <w:top w:val="nil"/>
              <w:bottom w:val="single" w:sz="2" w:space="0" w:color="auto"/>
            </w:tcBorders>
          </w:tcPr>
          <w:p w14:paraId="1917A9E6" w14:textId="77777777" w:rsidR="00A82686" w:rsidRDefault="00A82686" w:rsidP="001D0B82">
            <w:pPr>
              <w:pStyle w:val="Subtitle"/>
              <w:rPr>
                <w:lang w:val="de-DE"/>
              </w:rPr>
            </w:pPr>
          </w:p>
          <w:p w14:paraId="3BDD9EF1" w14:textId="77777777" w:rsidR="00A82686" w:rsidRPr="00C82DB1" w:rsidRDefault="00A82686" w:rsidP="001D0B82">
            <w:pPr>
              <w:rPr>
                <w:rFonts w:eastAsiaTheme="majorEastAsia"/>
                <w:lang w:val="de-DE"/>
              </w:rPr>
            </w:pPr>
          </w:p>
          <w:p w14:paraId="40275AD8" w14:textId="77777777" w:rsidR="00A82686" w:rsidRPr="00C82DB1" w:rsidRDefault="00A82686" w:rsidP="001D0B82">
            <w:pPr>
              <w:rPr>
                <w:rFonts w:eastAsiaTheme="majorEastAsia"/>
                <w:lang w:val="de-DE"/>
              </w:rPr>
            </w:pPr>
          </w:p>
          <w:p w14:paraId="40D4DB66" w14:textId="77777777" w:rsidR="00A82686" w:rsidRDefault="00A82686" w:rsidP="001D0B82">
            <w:pPr>
              <w:rPr>
                <w:rFonts w:eastAsiaTheme="majorEastAsia" w:cstheme="majorBidi"/>
                <w:b/>
                <w:iCs/>
                <w:caps/>
                <w:sz w:val="20"/>
                <w:szCs w:val="24"/>
                <w:lang w:val="de-DE"/>
              </w:rPr>
            </w:pPr>
          </w:p>
          <w:p w14:paraId="40F1A41B" w14:textId="77777777" w:rsidR="00A82686" w:rsidRPr="00C82DB1" w:rsidRDefault="00A82686" w:rsidP="001D0B82">
            <w:pPr>
              <w:rPr>
                <w:lang w:val="de-DE"/>
              </w:rPr>
            </w:pPr>
          </w:p>
        </w:tc>
        <w:tc>
          <w:tcPr>
            <w:tcW w:w="5964" w:type="dxa"/>
            <w:vMerge w:val="restart"/>
            <w:tcBorders>
              <w:top w:val="single" w:sz="12" w:space="0" w:color="auto"/>
            </w:tcBorders>
          </w:tcPr>
          <w:p w14:paraId="113187AA" w14:textId="77777777" w:rsidR="00A82686" w:rsidRPr="004547E7" w:rsidRDefault="00A82686" w:rsidP="001D0B82">
            <w:pPr>
              <w:pStyle w:val="Abstract"/>
            </w:pPr>
            <w:r w:rsidRPr="004547E7">
              <w:t>In this study, Fe</w:t>
            </w:r>
            <w:r w:rsidRPr="00A407CF">
              <w:rPr>
                <w:vertAlign w:val="subscript"/>
              </w:rPr>
              <w:t>3</w:t>
            </w:r>
            <w:r w:rsidRPr="004547E7">
              <w:t>O</w:t>
            </w:r>
            <w:r w:rsidRPr="00A407CF">
              <w:rPr>
                <w:vertAlign w:val="subscript"/>
              </w:rPr>
              <w:t>4</w:t>
            </w:r>
            <w:r w:rsidRPr="004547E7">
              <w:t>/GO/PVP (FGP) was successfully synthesized and efficiently applied for absorbing methylene blue. First, GO was synthesized by Hummer’s method from waste home-batteries. The chemical co-precipitation method was used to fabricate Fe</w:t>
            </w:r>
            <w:r w:rsidRPr="00A407CF">
              <w:rPr>
                <w:vertAlign w:val="subscript"/>
              </w:rPr>
              <w:t>3</w:t>
            </w:r>
            <w:r w:rsidRPr="004547E7">
              <w:t>O</w:t>
            </w:r>
            <w:r w:rsidRPr="00A407CF">
              <w:rPr>
                <w:vertAlign w:val="subscript"/>
              </w:rPr>
              <w:t>4</w:t>
            </w:r>
            <w:r w:rsidRPr="004547E7">
              <w:t>/GO from a mixture solution of GO, Fe</w:t>
            </w:r>
            <w:r w:rsidRPr="00A407CF">
              <w:rPr>
                <w:vertAlign w:val="subscript"/>
              </w:rPr>
              <w:t>3</w:t>
            </w:r>
            <w:r w:rsidRPr="00A407CF">
              <w:rPr>
                <w:vertAlign w:val="superscript"/>
              </w:rPr>
              <w:t>+</w:t>
            </w:r>
            <w:r w:rsidRPr="004547E7">
              <w:t>, Fe</w:t>
            </w:r>
            <w:r w:rsidRPr="00A407CF">
              <w:rPr>
                <w:vertAlign w:val="subscript"/>
              </w:rPr>
              <w:t>2</w:t>
            </w:r>
            <w:r w:rsidRPr="00A407CF">
              <w:rPr>
                <w:vertAlign w:val="superscript"/>
              </w:rPr>
              <w:t>+</w:t>
            </w:r>
            <w:r w:rsidRPr="004547E7">
              <w:t>. Polyvinylpyrrolidone PVP was selected to functionalize Fe3O4/GO and form Fe</w:t>
            </w:r>
            <w:r w:rsidRPr="00A407CF">
              <w:rPr>
                <w:vertAlign w:val="subscript"/>
              </w:rPr>
              <w:t>3</w:t>
            </w:r>
            <w:r w:rsidRPr="004547E7">
              <w:t>O</w:t>
            </w:r>
            <w:r w:rsidRPr="00A407CF">
              <w:rPr>
                <w:vertAlign w:val="subscript"/>
              </w:rPr>
              <w:t>4</w:t>
            </w:r>
            <w:r w:rsidRPr="004547E7">
              <w:t>/GO/PVP for improving dispersibility purpose in aqueous solution. The obtained Fe</w:t>
            </w:r>
            <w:r w:rsidRPr="00A407CF">
              <w:rPr>
                <w:vertAlign w:val="subscript"/>
              </w:rPr>
              <w:t>3</w:t>
            </w:r>
            <w:r w:rsidRPr="004547E7">
              <w:t>O</w:t>
            </w:r>
            <w:r w:rsidRPr="00A407CF">
              <w:rPr>
                <w:vertAlign w:val="subscript"/>
              </w:rPr>
              <w:t>4</w:t>
            </w:r>
            <w:r w:rsidRPr="004547E7">
              <w:t>/GO/PVP was characterized by XRD, FT-IR, BET, FE-SEM, UV-Vis techniques. Moreover, the effecting factors as pH, time adsorption, initial concentration of methylene blue were conducted. Adsorption isotherm models were also identified. The results showed that specific surface area of FGP-3 was 70.0 m2.g-1, the Freundlich isotherm model was suitable and the Dubinin - Radushkevich isotherm model showed that the process was physical adsorption. The maximum capacity (qmax) was 30.4 mg.g-1. These findings prove Fe</w:t>
            </w:r>
            <w:r w:rsidRPr="00F365BA">
              <w:rPr>
                <w:vertAlign w:val="subscript"/>
              </w:rPr>
              <w:t>3</w:t>
            </w:r>
            <w:r w:rsidRPr="004547E7">
              <w:t>O</w:t>
            </w:r>
            <w:r w:rsidRPr="00F365BA">
              <w:rPr>
                <w:vertAlign w:val="subscript"/>
              </w:rPr>
              <w:t>4</w:t>
            </w:r>
            <w:r w:rsidRPr="004547E7">
              <w:t>/GO/PVP as an inexpensive and efficient adsorbent for removal of cationic dyes.</w:t>
            </w:r>
          </w:p>
        </w:tc>
      </w:tr>
      <w:tr w:rsidR="00A82686" w:rsidRPr="00411E62" w14:paraId="55093B0F" w14:textId="77777777" w:rsidTr="00A82686">
        <w:trPr>
          <w:trHeight w:val="330"/>
        </w:trPr>
        <w:tc>
          <w:tcPr>
            <w:tcW w:w="2455" w:type="dxa"/>
            <w:tcBorders>
              <w:top w:val="single" w:sz="12" w:space="0" w:color="auto"/>
              <w:bottom w:val="single" w:sz="12" w:space="0" w:color="auto"/>
            </w:tcBorders>
          </w:tcPr>
          <w:p w14:paraId="6AC5F7C3" w14:textId="77777777" w:rsidR="00A82686" w:rsidRPr="004815AE" w:rsidRDefault="00A82686" w:rsidP="001D0B82">
            <w:pPr>
              <w:pStyle w:val="Subtitle"/>
              <w:ind w:firstLine="0"/>
              <w:rPr>
                <w:rFonts w:cs="Times New Roman"/>
                <w:i/>
                <w:szCs w:val="20"/>
              </w:rPr>
            </w:pPr>
            <w:r w:rsidRPr="004815AE">
              <w:rPr>
                <w:caps w:val="0"/>
                <w:lang w:val="de-DE"/>
              </w:rPr>
              <w:t>Keywords</w:t>
            </w:r>
          </w:p>
        </w:tc>
        <w:tc>
          <w:tcPr>
            <w:tcW w:w="312" w:type="dxa"/>
            <w:vMerge/>
            <w:tcBorders>
              <w:top w:val="nil"/>
              <w:bottom w:val="single" w:sz="2" w:space="0" w:color="auto"/>
            </w:tcBorders>
          </w:tcPr>
          <w:p w14:paraId="47BEE1C2" w14:textId="77777777" w:rsidR="00A82686" w:rsidRDefault="00A82686" w:rsidP="001D0B82">
            <w:pPr>
              <w:pStyle w:val="Subtitle"/>
              <w:rPr>
                <w:lang w:val="de-DE"/>
              </w:rPr>
            </w:pPr>
          </w:p>
        </w:tc>
        <w:tc>
          <w:tcPr>
            <w:tcW w:w="5964" w:type="dxa"/>
            <w:vMerge/>
          </w:tcPr>
          <w:p w14:paraId="00E7BB4D" w14:textId="77777777" w:rsidR="00A82686" w:rsidRDefault="00A82686" w:rsidP="001D0B82">
            <w:pPr>
              <w:pStyle w:val="Subtitle"/>
              <w:rPr>
                <w:lang w:val="de-DE"/>
              </w:rPr>
            </w:pPr>
          </w:p>
        </w:tc>
      </w:tr>
      <w:tr w:rsidR="00A82686" w:rsidRPr="00411E62" w14:paraId="422D33CF" w14:textId="77777777" w:rsidTr="00A82686">
        <w:trPr>
          <w:trHeight w:val="70"/>
        </w:trPr>
        <w:tc>
          <w:tcPr>
            <w:tcW w:w="2455" w:type="dxa"/>
            <w:tcBorders>
              <w:top w:val="single" w:sz="12" w:space="0" w:color="auto"/>
              <w:bottom w:val="single" w:sz="12" w:space="0" w:color="auto"/>
            </w:tcBorders>
          </w:tcPr>
          <w:p w14:paraId="5E2B903B" w14:textId="77777777" w:rsidR="00A82686" w:rsidRPr="006C41E0" w:rsidRDefault="00A82686" w:rsidP="001D0B82">
            <w:pPr>
              <w:pStyle w:val="AbstractTitle"/>
            </w:pPr>
            <w:r w:rsidRPr="00F84E67">
              <w:rPr>
                <w:lang w:val="en-GB"/>
              </w:rPr>
              <w:t>Fe</w:t>
            </w:r>
            <w:r w:rsidRPr="00F84E67">
              <w:rPr>
                <w:vertAlign w:val="subscript"/>
                <w:lang w:val="en-GB"/>
              </w:rPr>
              <w:t>3</w:t>
            </w:r>
            <w:r w:rsidRPr="00F84E67">
              <w:rPr>
                <w:lang w:val="en-GB"/>
              </w:rPr>
              <w:t>O</w:t>
            </w:r>
            <w:r w:rsidRPr="00F84E67">
              <w:rPr>
                <w:vertAlign w:val="subscript"/>
                <w:lang w:val="en-GB"/>
              </w:rPr>
              <w:t>4</w:t>
            </w:r>
            <w:r w:rsidRPr="00F84E67">
              <w:rPr>
                <w:lang w:val="en-GB"/>
              </w:rPr>
              <w:t>, graphene oxide, methyl blue removal, magnetic adsorbent, PVP</w:t>
            </w:r>
          </w:p>
        </w:tc>
        <w:tc>
          <w:tcPr>
            <w:tcW w:w="312" w:type="dxa"/>
            <w:vMerge/>
            <w:tcBorders>
              <w:top w:val="nil"/>
              <w:bottom w:val="single" w:sz="12" w:space="0" w:color="auto"/>
            </w:tcBorders>
          </w:tcPr>
          <w:p w14:paraId="48490E4F" w14:textId="77777777" w:rsidR="00A82686" w:rsidRDefault="00A82686" w:rsidP="001D0B82">
            <w:pPr>
              <w:pStyle w:val="Subtitle"/>
              <w:rPr>
                <w:lang w:val="de-DE"/>
              </w:rPr>
            </w:pPr>
          </w:p>
        </w:tc>
        <w:tc>
          <w:tcPr>
            <w:tcW w:w="5964" w:type="dxa"/>
            <w:vMerge/>
            <w:tcBorders>
              <w:bottom w:val="single" w:sz="12" w:space="0" w:color="auto"/>
            </w:tcBorders>
          </w:tcPr>
          <w:p w14:paraId="35B6D59A" w14:textId="77777777" w:rsidR="00A82686" w:rsidRDefault="00A82686" w:rsidP="001D0B82">
            <w:pPr>
              <w:pStyle w:val="Subtitle"/>
              <w:rPr>
                <w:lang w:val="de-DE"/>
              </w:rPr>
            </w:pPr>
          </w:p>
        </w:tc>
      </w:tr>
    </w:tbl>
    <w:p w14:paraId="3786AC0A" w14:textId="77777777" w:rsidR="00411E62" w:rsidRPr="00702190" w:rsidRDefault="00411E62" w:rsidP="00702190">
      <w:pPr>
        <w:rPr>
          <w:sz w:val="2"/>
          <w:szCs w:val="2"/>
        </w:rPr>
        <w:sectPr w:rsidR="00411E62" w:rsidRPr="00702190" w:rsidSect="000E0E50">
          <w:headerReference w:type="default" r:id="rId9"/>
          <w:footerReference w:type="default" r:id="rId10"/>
          <w:type w:val="continuous"/>
          <w:pgSz w:w="10773" w:h="15309" w:code="150"/>
          <w:pgMar w:top="1418" w:right="1021" w:bottom="1418" w:left="1021" w:header="851" w:footer="851" w:gutter="0"/>
          <w:cols w:space="566"/>
          <w:docGrid w:linePitch="360"/>
        </w:sectPr>
      </w:pPr>
    </w:p>
    <w:p w14:paraId="4482D4A6" w14:textId="77777777" w:rsidR="004547E7" w:rsidRPr="00F84E67" w:rsidRDefault="004547E7" w:rsidP="00885651">
      <w:pPr>
        <w:pStyle w:val="Heading1"/>
        <w:spacing w:before="60"/>
      </w:pPr>
      <w:r w:rsidRPr="00F84E67">
        <w:t>INTRODUCTION</w:t>
      </w:r>
    </w:p>
    <w:p w14:paraId="6A24B60D" w14:textId="77777777" w:rsidR="004547E7" w:rsidRPr="00F84E67" w:rsidRDefault="004547E7" w:rsidP="004547E7">
      <w:pPr>
        <w:pStyle w:val="Text"/>
        <w:rPr>
          <w:lang w:val="en-GB"/>
        </w:rPr>
      </w:pPr>
      <w:r w:rsidRPr="00F84E67">
        <w:rPr>
          <w:lang w:val="en-GB"/>
        </w:rPr>
        <w:t xml:space="preserve">Various dyes have been used in the production processes of the textile dyeing and printing (Munoz et al., 2018). These organic dyes are non-degradable, mutagenic, toxic and carcinogenic to humans (Wang et al., 2015; Xiao et al., 2016). Among them, methylene </w:t>
      </w:r>
      <w:r w:rsidRPr="004547E7">
        <w:t>blue</w:t>
      </w:r>
      <w:r w:rsidRPr="00F84E67">
        <w:rPr>
          <w:lang w:val="en-GB"/>
        </w:rPr>
        <w:t xml:space="preserve"> (MB) is commonly used to dye wool, cotton and silk which causes various complications such as redness and itching, irritation of skin, throat, mouth, oesophagus, stomach gastrointestinal tract issues, nausea, vomiting, diarrhoea, dizziness, headache, and fever (Stawinski et al., 2017; Munoz et al., 2018). </w:t>
      </w:r>
      <w:r w:rsidRPr="00F84E67">
        <w:rPr>
          <w:lang w:val="en-GB"/>
        </w:rPr>
        <w:t xml:space="preserve">Therefore, it is necessary to find simple, and efficient methods to treat dye wastewater. </w:t>
      </w:r>
    </w:p>
    <w:p w14:paraId="1D68F115" w14:textId="77777777" w:rsidR="004547E7" w:rsidRPr="00F84E67" w:rsidRDefault="004547E7" w:rsidP="004547E7">
      <w:pPr>
        <w:pStyle w:val="Text"/>
        <w:rPr>
          <w:lang w:val="en-GB"/>
        </w:rPr>
      </w:pPr>
      <w:r w:rsidRPr="00F84E67">
        <w:rPr>
          <w:lang w:val="en-GB"/>
        </w:rPr>
        <w:t xml:space="preserve">Many technologies have been applied to treat organic wastewater such as biological, chemical or physical </w:t>
      </w:r>
      <w:r w:rsidRPr="004547E7">
        <w:t>methods</w:t>
      </w:r>
      <w:r w:rsidRPr="00F84E67">
        <w:rPr>
          <w:lang w:val="en-GB"/>
        </w:rPr>
        <w:t xml:space="preserve">. Among these techniques, adsorption is one of the most favoured methods because of its low cost, ease of operation, lower energy consumption, simple setup, high efficiency and non-toxicity (Saini et al., 2017). One of the major challenges is identifying novel adsorbents that successfully remove some pollutants from wastewater sources, improving the adsorption efficiency compared to traditional materials such as </w:t>
      </w:r>
      <w:r w:rsidRPr="00F84E67">
        <w:rPr>
          <w:lang w:val="en-GB"/>
        </w:rPr>
        <w:lastRenderedPageBreak/>
        <w:t>biological, inorganic and activated carbon materials (Zhang et al., 2017; Wei et al., 2018).</w:t>
      </w:r>
    </w:p>
    <w:p w14:paraId="5DF57CBB" w14:textId="77777777" w:rsidR="004547E7" w:rsidRPr="00F84E67" w:rsidRDefault="004547E7" w:rsidP="004547E7">
      <w:pPr>
        <w:pStyle w:val="Text"/>
        <w:rPr>
          <w:lang w:val="en-GB"/>
        </w:rPr>
      </w:pPr>
      <w:r w:rsidRPr="00F84E67">
        <w:rPr>
          <w:lang w:val="en-GB"/>
        </w:rPr>
        <w:t xml:space="preserve">Hundreds of millions of batteries are used in electronic devices annually. To date, tons of toxic materials from these </w:t>
      </w:r>
      <w:r w:rsidRPr="004547E7">
        <w:t>batteries</w:t>
      </w:r>
      <w:r w:rsidRPr="00F84E67">
        <w:rPr>
          <w:lang w:val="en-GB"/>
        </w:rPr>
        <w:t xml:space="preserve"> are released globally, since collecting and recycling of waste batteries has</w:t>
      </w:r>
      <w:r w:rsidRPr="00F84E67">
        <w:rPr>
          <w:lang w:val="vi-VN"/>
        </w:rPr>
        <w:t xml:space="preserve"> been </w:t>
      </w:r>
      <w:r w:rsidRPr="00F84E67">
        <w:rPr>
          <w:lang w:val="en-GB"/>
        </w:rPr>
        <w:t>limited. Therefore, utilization of used-battery sources as adsorbent material will contribute to reducing pollution and protecting public health.</w:t>
      </w:r>
    </w:p>
    <w:p w14:paraId="2DBF046D" w14:textId="77777777" w:rsidR="004547E7" w:rsidRPr="00F84E67" w:rsidRDefault="004547E7" w:rsidP="004547E7">
      <w:pPr>
        <w:pStyle w:val="Text"/>
        <w:rPr>
          <w:lang w:val="en-GB"/>
        </w:rPr>
      </w:pPr>
      <w:r w:rsidRPr="00F84E67">
        <w:rPr>
          <w:lang w:val="en-GB"/>
        </w:rPr>
        <w:t xml:space="preserve">Graphene oxide (GO) is an attractive material for heavy metal ion removal and pigment adsorption because of its two-dimensional </w:t>
      </w:r>
      <w:r w:rsidRPr="004547E7">
        <w:t>structure</w:t>
      </w:r>
      <w:r w:rsidRPr="00F84E67">
        <w:rPr>
          <w:lang w:val="en-GB"/>
        </w:rPr>
        <w:t xml:space="preserve"> and high specific surface area (2630 m</w:t>
      </w:r>
      <w:r w:rsidRPr="00F84E67">
        <w:rPr>
          <w:vertAlign w:val="superscript"/>
          <w:lang w:val="en-GB"/>
        </w:rPr>
        <w:t>2</w:t>
      </w:r>
      <w:r w:rsidRPr="00F84E67">
        <w:rPr>
          <w:lang w:val="en-GB"/>
        </w:rPr>
        <w:t>.g</w:t>
      </w:r>
      <w:r w:rsidRPr="00F84E67">
        <w:rPr>
          <w:vertAlign w:val="superscript"/>
          <w:lang w:val="en-GB"/>
        </w:rPr>
        <w:t>-1</w:t>
      </w:r>
      <w:r w:rsidRPr="00F84E67">
        <w:rPr>
          <w:lang w:val="en-GB"/>
        </w:rPr>
        <w:t>). However, it is difficult to recover GO after using for adsorption applications (Dreyer et al., 2010; Morimoto et al., 2016; Brisebois et al., 2020).</w:t>
      </w:r>
    </w:p>
    <w:p w14:paraId="1419920E" w14:textId="77777777" w:rsidR="004547E7" w:rsidRPr="00F84E67" w:rsidRDefault="004547E7" w:rsidP="004547E7">
      <w:pPr>
        <w:pStyle w:val="Text"/>
        <w:rPr>
          <w:rFonts w:cs="Times New Roman"/>
          <w:szCs w:val="20"/>
          <w:lang w:val="en-GB"/>
        </w:rPr>
      </w:pPr>
      <w:r w:rsidRPr="00F84E67">
        <w:rPr>
          <w:rFonts w:cs="Times New Roman"/>
          <w:szCs w:val="20"/>
          <w:lang w:val="en-GB"/>
        </w:rPr>
        <w:t>Iron oxide (Fe</w:t>
      </w:r>
      <w:r w:rsidRPr="00F84E67">
        <w:rPr>
          <w:rFonts w:eastAsiaTheme="minorHAnsi" w:cs="Times New Roman"/>
          <w:bCs w:val="0"/>
          <w:szCs w:val="20"/>
          <w:vertAlign w:val="subscript"/>
          <w:lang w:val="en-GB"/>
        </w:rPr>
        <w:t>3</w:t>
      </w:r>
      <w:r w:rsidRPr="00F84E67">
        <w:rPr>
          <w:rFonts w:cs="Times New Roman"/>
          <w:szCs w:val="20"/>
          <w:lang w:val="en-GB"/>
        </w:rPr>
        <w:t>O</w:t>
      </w:r>
      <w:r w:rsidRPr="00F84E67">
        <w:rPr>
          <w:rFonts w:eastAsiaTheme="minorHAnsi" w:cs="Times New Roman"/>
          <w:bCs w:val="0"/>
          <w:szCs w:val="20"/>
          <w:vertAlign w:val="subscript"/>
          <w:lang w:val="en-GB"/>
        </w:rPr>
        <w:t>4</w:t>
      </w:r>
      <w:r w:rsidRPr="00F84E67">
        <w:rPr>
          <w:rFonts w:cs="Times New Roman"/>
          <w:szCs w:val="20"/>
          <w:lang w:val="en-GB"/>
        </w:rPr>
        <w:t>) has increasingly been investigatedbecause of its unique properties such as magnetism, biocompatibility, low toxicity and catalytic ability. Fe</w:t>
      </w:r>
      <w:r w:rsidRPr="00F84E67">
        <w:rPr>
          <w:rFonts w:eastAsiaTheme="minorHAnsi" w:cs="Times New Roman"/>
          <w:bCs w:val="0"/>
          <w:szCs w:val="20"/>
          <w:vertAlign w:val="subscript"/>
          <w:lang w:val="en-GB"/>
        </w:rPr>
        <w:t>3</w:t>
      </w:r>
      <w:r w:rsidRPr="00F84E67">
        <w:rPr>
          <w:rFonts w:cs="Times New Roman"/>
          <w:szCs w:val="20"/>
          <w:lang w:val="en-GB"/>
        </w:rPr>
        <w:t>O</w:t>
      </w:r>
      <w:r w:rsidRPr="00F84E67">
        <w:rPr>
          <w:rFonts w:eastAsiaTheme="minorHAnsi" w:cs="Times New Roman"/>
          <w:bCs w:val="0"/>
          <w:szCs w:val="20"/>
          <w:vertAlign w:val="subscript"/>
          <w:lang w:val="en-GB"/>
        </w:rPr>
        <w:t>4</w:t>
      </w:r>
      <w:r w:rsidRPr="00F84E67">
        <w:rPr>
          <w:rFonts w:cs="Times New Roman"/>
          <w:szCs w:val="20"/>
          <w:lang w:val="en-GB"/>
        </w:rPr>
        <w:t xml:space="preserve"> with magnetism can improve the recovery of GO through the external magnetic field after adsorption (Cui et al., 2015).</w:t>
      </w:r>
    </w:p>
    <w:p w14:paraId="3404EF5D" w14:textId="77777777" w:rsidR="004547E7" w:rsidRPr="00F84E67" w:rsidRDefault="004547E7" w:rsidP="004547E7">
      <w:pPr>
        <w:pStyle w:val="Text"/>
        <w:rPr>
          <w:lang w:val="en-GB"/>
        </w:rPr>
      </w:pPr>
      <w:r w:rsidRPr="00F84E67">
        <w:rPr>
          <w:lang w:val="en-GB"/>
        </w:rPr>
        <w:t xml:space="preserve">Polyvinylpyrrolidone (PVP) is a non-conductive, soluble and non-toxic </w:t>
      </w:r>
      <w:r w:rsidRPr="004547E7">
        <w:t>polymer</w:t>
      </w:r>
      <w:r w:rsidRPr="00F84E67">
        <w:rPr>
          <w:lang w:val="en-GB"/>
        </w:rPr>
        <w:t>. PVP contains a large number of functional groups such as C=O and C-N providing multiple colorant adsorption sites. In this study, PVP was used to stabilize the surface and</w:t>
      </w:r>
      <w:r w:rsidR="00885651">
        <w:rPr>
          <w:lang w:val="en-GB"/>
        </w:rPr>
        <w:t xml:space="preserve"> improve </w:t>
      </w:r>
      <w:r w:rsidRPr="00F84E67">
        <w:rPr>
          <w:lang w:val="en-GB"/>
        </w:rPr>
        <w:t>disperability of Fe</w:t>
      </w:r>
      <w:r w:rsidRPr="00F84E67">
        <w:rPr>
          <w:rFonts w:eastAsiaTheme="minorHAnsi"/>
          <w:bCs w:val="0"/>
          <w:vertAlign w:val="subscript"/>
          <w:lang w:val="en-GB"/>
        </w:rPr>
        <w:t>3</w:t>
      </w:r>
      <w:r w:rsidRPr="00F84E67">
        <w:rPr>
          <w:lang w:val="en-GB"/>
        </w:rPr>
        <w:t>O</w:t>
      </w:r>
      <w:r w:rsidRPr="00F84E67">
        <w:rPr>
          <w:rFonts w:eastAsiaTheme="minorHAnsi"/>
          <w:bCs w:val="0"/>
          <w:vertAlign w:val="subscript"/>
          <w:lang w:val="en-GB"/>
        </w:rPr>
        <w:t>4</w:t>
      </w:r>
      <w:r w:rsidR="00885651">
        <w:rPr>
          <w:lang w:val="en-GB"/>
        </w:rPr>
        <w:t xml:space="preserve">/GO </w:t>
      </w:r>
      <w:r w:rsidRPr="00F84E67">
        <w:rPr>
          <w:lang w:val="en-GB"/>
        </w:rPr>
        <w:t>nanocomposites. The obtained Fe</w:t>
      </w:r>
      <w:r w:rsidRPr="00F84E67">
        <w:rPr>
          <w:rFonts w:eastAsiaTheme="minorHAnsi"/>
          <w:b/>
          <w:bCs w:val="0"/>
          <w:vertAlign w:val="subscript"/>
          <w:lang w:val="en-GB"/>
        </w:rPr>
        <w:t>3</w:t>
      </w:r>
      <w:r w:rsidRPr="00F84E67">
        <w:rPr>
          <w:lang w:val="en-GB"/>
        </w:rPr>
        <w:t>O</w:t>
      </w:r>
      <w:r w:rsidRPr="00F84E67">
        <w:rPr>
          <w:vertAlign w:val="subscript"/>
          <w:lang w:val="en-GB"/>
        </w:rPr>
        <w:t>4</w:t>
      </w:r>
      <w:r w:rsidRPr="00F84E67">
        <w:rPr>
          <w:lang w:val="en-GB"/>
        </w:rPr>
        <w:t>/GO/PVP nanocomposites are applied as a cheap and efficient adsorbent for organic effluent treatment, specifically Methyl Blue (MB).</w:t>
      </w:r>
    </w:p>
    <w:p w14:paraId="3C5F992E" w14:textId="77777777" w:rsidR="004547E7" w:rsidRPr="00F84E67" w:rsidRDefault="004547E7" w:rsidP="004547E7">
      <w:pPr>
        <w:pStyle w:val="Heading1"/>
      </w:pPr>
      <w:r w:rsidRPr="00F84E67">
        <w:t xml:space="preserve">materials and method </w:t>
      </w:r>
    </w:p>
    <w:p w14:paraId="3A843DBF" w14:textId="77777777" w:rsidR="004547E7" w:rsidRPr="00F84E67" w:rsidRDefault="004547E7" w:rsidP="004547E7">
      <w:pPr>
        <w:pStyle w:val="Heading2"/>
      </w:pPr>
      <w:r w:rsidRPr="00F84E67">
        <w:t>Chemicals and Materials</w:t>
      </w:r>
    </w:p>
    <w:p w14:paraId="7E419F86" w14:textId="77777777" w:rsidR="004547E7" w:rsidRPr="00F84E67" w:rsidRDefault="004547E7" w:rsidP="004547E7">
      <w:pPr>
        <w:pStyle w:val="Text"/>
      </w:pPr>
      <w:r w:rsidRPr="00F84E67">
        <w:t>Graphite was prepared from used batteries. Potassium permanganate (99</w:t>
      </w:r>
      <w:r w:rsidRPr="00F84E67">
        <w:rPr>
          <w:lang w:val="vi-VN"/>
        </w:rPr>
        <w:t>%, Vietnam</w:t>
      </w:r>
      <w:r w:rsidRPr="00F84E67">
        <w:t>), Sulfuric acid (98</w:t>
      </w:r>
      <w:r w:rsidRPr="00F84E67">
        <w:rPr>
          <w:lang w:val="vi-VN"/>
        </w:rPr>
        <w:t>%, China</w:t>
      </w:r>
      <w:r w:rsidRPr="00F84E67">
        <w:t>), Sodium nitrate (99</w:t>
      </w:r>
      <w:r w:rsidRPr="00F84E67">
        <w:rPr>
          <w:lang w:val="vi-VN"/>
        </w:rPr>
        <w:t xml:space="preserve">%, </w:t>
      </w:r>
      <w:r w:rsidRPr="00F84E67">
        <w:t>China), Hydrogen peroxide</w:t>
      </w:r>
      <w:r w:rsidRPr="00F84E67">
        <w:rPr>
          <w:lang w:val="vi-VN"/>
        </w:rPr>
        <w:t xml:space="preserve"> (</w:t>
      </w:r>
      <w:r w:rsidRPr="00F84E67">
        <w:t>30%</w:t>
      </w:r>
      <w:r w:rsidRPr="00F84E67">
        <w:rPr>
          <w:lang w:val="vi-VN"/>
        </w:rPr>
        <w:t>, China</w:t>
      </w:r>
      <w:r w:rsidRPr="00F84E67">
        <w:t>), Ethanol (96</w:t>
      </w:r>
      <w:r w:rsidRPr="00F84E67">
        <w:rPr>
          <w:lang w:val="vi-VN"/>
        </w:rPr>
        <w:t>%, Vietnam</w:t>
      </w:r>
      <w:r w:rsidRPr="00F84E67">
        <w:t>), Iron (II) chloride tetrahydrate (99</w:t>
      </w:r>
      <w:r w:rsidRPr="00F84E67">
        <w:rPr>
          <w:lang w:val="vi-VN"/>
        </w:rPr>
        <w:t xml:space="preserve">%, </w:t>
      </w:r>
      <w:r w:rsidRPr="00F84E67">
        <w:t>China), Iron (III) chloride hexahydrate (99</w:t>
      </w:r>
      <w:r w:rsidRPr="00F84E67">
        <w:rPr>
          <w:lang w:val="vi-VN"/>
        </w:rPr>
        <w:t xml:space="preserve">%, </w:t>
      </w:r>
      <w:r w:rsidRPr="00F84E67">
        <w:t>China), ammonium hydroxide (China), Hydrochloric acid (36</w:t>
      </w:r>
      <w:r>
        <w:rPr>
          <w:lang w:val="vi-VN"/>
        </w:rPr>
        <w:t xml:space="preserve">%, </w:t>
      </w:r>
      <w:r w:rsidRPr="00F84E67">
        <w:t>China), Sodium hydroxide (96</w:t>
      </w:r>
      <w:r w:rsidRPr="00F84E67">
        <w:rPr>
          <w:lang w:val="vi-VN"/>
        </w:rPr>
        <w:t xml:space="preserve">%, </w:t>
      </w:r>
      <w:r w:rsidRPr="00F84E67">
        <w:t xml:space="preserve">China), </w:t>
      </w:r>
      <w:r w:rsidRPr="004547E7">
        <w:t>Methylene</w:t>
      </w:r>
      <w:r w:rsidRPr="00F84E67">
        <w:t xml:space="preserve"> Blue</w:t>
      </w:r>
      <w:r w:rsidRPr="00F84E67">
        <w:rPr>
          <w:lang w:val="vi-VN"/>
        </w:rPr>
        <w:t xml:space="preserve"> (98.5%, </w:t>
      </w:r>
      <w:r w:rsidRPr="00F84E67">
        <w:t>China</w:t>
      </w:r>
      <w:r w:rsidRPr="00F84E67">
        <w:rPr>
          <w:lang w:val="vi-VN"/>
        </w:rPr>
        <w:t xml:space="preserve">) and </w:t>
      </w:r>
      <w:r w:rsidRPr="00F84E67">
        <w:t>Poly vinyl pyrrolidone (11</w:t>
      </w:r>
      <w:r w:rsidRPr="00F84E67">
        <w:rPr>
          <w:lang w:val="vi-VN"/>
        </w:rPr>
        <w:t xml:space="preserve">.5%, </w:t>
      </w:r>
      <w:r w:rsidRPr="00F84E67">
        <w:t>Sigma Aldrich</w:t>
      </w:r>
      <w:r w:rsidRPr="00F84E67">
        <w:rPr>
          <w:lang w:val="vi-VN"/>
        </w:rPr>
        <w:t>)</w:t>
      </w:r>
      <w:r w:rsidRPr="00F84E67">
        <w:t>.</w:t>
      </w:r>
    </w:p>
    <w:p w14:paraId="3691E166" w14:textId="77777777" w:rsidR="004547E7" w:rsidRPr="00F84E67" w:rsidRDefault="004547E7" w:rsidP="004547E7">
      <w:pPr>
        <w:pStyle w:val="Heading2"/>
      </w:pPr>
      <w:r w:rsidRPr="00F84E67">
        <w:t>Preparation of Fe</w:t>
      </w:r>
      <w:r w:rsidRPr="00F84E67">
        <w:rPr>
          <w:vertAlign w:val="subscript"/>
        </w:rPr>
        <w:t>3</w:t>
      </w:r>
      <w:r w:rsidRPr="00F84E67">
        <w:t>O</w:t>
      </w:r>
      <w:r w:rsidRPr="00F84E67">
        <w:rPr>
          <w:vertAlign w:val="subscript"/>
        </w:rPr>
        <w:t>4</w:t>
      </w:r>
      <w:r w:rsidRPr="00F84E67">
        <w:t>/GO/PVP</w:t>
      </w:r>
    </w:p>
    <w:p w14:paraId="1580DA80" w14:textId="77777777" w:rsidR="004547E7" w:rsidRPr="00F84E67" w:rsidRDefault="004547E7" w:rsidP="004547E7">
      <w:pPr>
        <w:pStyle w:val="Text"/>
      </w:pPr>
      <w:r w:rsidRPr="00F84E67">
        <w:rPr>
          <w:lang w:val="vi-VN"/>
        </w:rPr>
        <w:t>GO</w:t>
      </w:r>
      <w:r w:rsidRPr="00F84E67">
        <w:t xml:space="preserve"> was synthesized by the Hummer method as outlined in the literature (Hummer et al., 1958)</w:t>
      </w:r>
      <w:r w:rsidRPr="00F84E67">
        <w:rPr>
          <w:lang w:val="vi-VN"/>
        </w:rPr>
        <w:t>, whereby the ratios of Graphite:NaNO</w:t>
      </w:r>
      <w:r w:rsidRPr="00F84E67">
        <w:rPr>
          <w:vertAlign w:val="subscript"/>
          <w:lang w:val="vi-VN"/>
        </w:rPr>
        <w:t>3</w:t>
      </w:r>
      <w:r w:rsidRPr="00F84E67">
        <w:rPr>
          <w:lang w:val="vi-VN"/>
        </w:rPr>
        <w:t>:H</w:t>
      </w:r>
      <w:r w:rsidRPr="00F84E67">
        <w:rPr>
          <w:vertAlign w:val="subscript"/>
          <w:lang w:val="vi-VN"/>
        </w:rPr>
        <w:t>2</w:t>
      </w:r>
      <w:r w:rsidRPr="00F84E67">
        <w:rPr>
          <w:lang w:val="vi-VN"/>
        </w:rPr>
        <w:t>SO</w:t>
      </w:r>
      <w:r w:rsidRPr="00F84E67">
        <w:rPr>
          <w:vertAlign w:val="subscript"/>
          <w:lang w:val="vi-VN"/>
        </w:rPr>
        <w:t>4</w:t>
      </w:r>
      <w:r w:rsidRPr="00F84E67">
        <w:rPr>
          <w:lang w:val="vi-VN"/>
        </w:rPr>
        <w:t xml:space="preserve"> (g/g/g) were 2:2.5:138 </w:t>
      </w:r>
      <w:r w:rsidRPr="00F84E67">
        <w:t xml:space="preserve">(GO-2) </w:t>
      </w:r>
      <w:r w:rsidRPr="00F84E67">
        <w:rPr>
          <w:lang w:val="vi-VN"/>
        </w:rPr>
        <w:t>and 2.5:2.5:138</w:t>
      </w:r>
      <w:r w:rsidRPr="00F84E67">
        <w:t xml:space="preserve"> (GO-</w:t>
      </w:r>
      <w:r w:rsidRPr="00F84E67">
        <w:t>2.5)</w:t>
      </w:r>
      <w:r w:rsidRPr="00F84E67">
        <w:rPr>
          <w:lang w:val="vi-VN"/>
        </w:rPr>
        <w:t xml:space="preserve"> for comparation.</w:t>
      </w:r>
      <w:r w:rsidRPr="00F84E67">
        <w:t xml:space="preserve"> Next, </w:t>
      </w:r>
      <w:r w:rsidRPr="00F84E67">
        <w:rPr>
          <w:lang w:val="en-GB"/>
        </w:rPr>
        <w:t>Fe</w:t>
      </w:r>
      <w:r w:rsidRPr="00F84E67">
        <w:rPr>
          <w:rFonts w:eastAsiaTheme="minorHAnsi"/>
          <w:b/>
          <w:bCs w:val="0"/>
          <w:vertAlign w:val="subscript"/>
          <w:lang w:val="en-GB"/>
        </w:rPr>
        <w:t>3</w:t>
      </w:r>
      <w:r w:rsidRPr="00F84E67">
        <w:rPr>
          <w:lang w:val="en-GB"/>
        </w:rPr>
        <w:t>O</w:t>
      </w:r>
      <w:r w:rsidRPr="00F84E67">
        <w:rPr>
          <w:vertAlign w:val="subscript"/>
          <w:lang w:val="en-GB"/>
        </w:rPr>
        <w:t>4</w:t>
      </w:r>
      <w:r w:rsidRPr="00F84E67">
        <w:rPr>
          <w:lang w:val="en-GB"/>
        </w:rPr>
        <w:t>/GO</w:t>
      </w:r>
      <w:r w:rsidRPr="00F84E67">
        <w:t xml:space="preserve"> (FG) was synthesized via the co-precipitation method. Briefly, 0.30 mg GO was dispersed in 150 mL DI water,</w:t>
      </w:r>
      <w:r w:rsidRPr="00F84E67">
        <w:rPr>
          <w:lang w:val="vi-VN"/>
        </w:rPr>
        <w:t xml:space="preserve"> </w:t>
      </w:r>
      <w:r w:rsidRPr="00F84E67">
        <w:t>and sonicated for 30 min</w:t>
      </w:r>
      <w:r w:rsidRPr="00F84E67">
        <w:rPr>
          <w:lang w:val="vi-VN"/>
        </w:rPr>
        <w:t xml:space="preserve">, </w:t>
      </w:r>
      <w:r w:rsidRPr="00F84E67">
        <w:t>then slowly dropped into salt solution (0.34 g FeCl</w:t>
      </w:r>
      <w:r w:rsidRPr="00F84E67">
        <w:rPr>
          <w:vertAlign w:val="subscript"/>
        </w:rPr>
        <w:t>3</w:t>
      </w:r>
      <w:r w:rsidRPr="00F84E67">
        <w:t>.4H</w:t>
      </w:r>
      <w:r w:rsidRPr="00F84E67">
        <w:rPr>
          <w:vertAlign w:val="subscript"/>
        </w:rPr>
        <w:t>2</w:t>
      </w:r>
      <w:r w:rsidRPr="00F84E67">
        <w:t>O, 0.56 g FeCl</w:t>
      </w:r>
      <w:r w:rsidRPr="00F84E67">
        <w:rPr>
          <w:vertAlign w:val="subscript"/>
        </w:rPr>
        <w:t>3</w:t>
      </w:r>
      <w:r w:rsidRPr="00F84E67">
        <w:t>.6H</w:t>
      </w:r>
      <w:r w:rsidRPr="00F84E67">
        <w:rPr>
          <w:vertAlign w:val="subscript"/>
        </w:rPr>
        <w:t>2</w:t>
      </w:r>
      <w:r w:rsidRPr="00F84E67">
        <w:t>O and 50 mL DI water), continuously stirred for 30 min at 60℃ and aerating N</w:t>
      </w:r>
      <w:r w:rsidRPr="00F84E67">
        <w:rPr>
          <w:vertAlign w:val="subscript"/>
        </w:rPr>
        <w:t>2</w:t>
      </w:r>
      <w:r w:rsidRPr="00F84E67">
        <w:t xml:space="preserve"> throughout the process.</w:t>
      </w:r>
      <w:r w:rsidRPr="00F84E67">
        <w:rPr>
          <w:lang w:val="vi-VN"/>
        </w:rPr>
        <w:t xml:space="preserve"> The </w:t>
      </w:r>
      <w:r w:rsidRPr="00F84E67">
        <w:t>NH</w:t>
      </w:r>
      <w:r w:rsidRPr="00F84E67">
        <w:rPr>
          <w:vertAlign w:val="subscript"/>
        </w:rPr>
        <w:t>4</w:t>
      </w:r>
      <w:r w:rsidRPr="00F84E67">
        <w:t>OH 23%</w:t>
      </w:r>
      <w:r w:rsidRPr="00F84E67">
        <w:rPr>
          <w:lang w:val="vi-VN"/>
        </w:rPr>
        <w:t xml:space="preserve"> </w:t>
      </w:r>
      <w:r w:rsidRPr="00F84E67">
        <w:t>solution</w:t>
      </w:r>
      <w:r w:rsidRPr="00F84E67">
        <w:rPr>
          <w:lang w:val="vi-VN"/>
        </w:rPr>
        <w:t xml:space="preserve"> was </w:t>
      </w:r>
      <w:r w:rsidRPr="00F84E67">
        <w:rPr>
          <w:lang w:val="en-GB"/>
        </w:rPr>
        <w:t xml:space="preserve">then </w:t>
      </w:r>
      <w:r w:rsidRPr="00F84E67">
        <w:rPr>
          <w:lang w:val="vi-VN"/>
        </w:rPr>
        <w:t>added and</w:t>
      </w:r>
      <w:r w:rsidRPr="00F84E67">
        <w:t xml:space="preserve"> adjusted to pH 10. The reaction was maintained at 60℃ and continuously stirred for 3 h. Fe</w:t>
      </w:r>
      <w:r w:rsidRPr="00F84E67">
        <w:rPr>
          <w:vertAlign w:val="subscript"/>
        </w:rPr>
        <w:t>3</w:t>
      </w:r>
      <w:r w:rsidRPr="00F84E67">
        <w:t>O</w:t>
      </w:r>
      <w:r w:rsidRPr="00F84E67">
        <w:rPr>
          <w:vertAlign w:val="subscript"/>
        </w:rPr>
        <w:t>4</w:t>
      </w:r>
      <w:r w:rsidRPr="00F84E67">
        <w:t>/GO products were collected at room temperature and washed by ethanol and DI water. The preparation of PVP/Fe</w:t>
      </w:r>
      <w:r w:rsidRPr="00F84E67">
        <w:rPr>
          <w:rFonts w:eastAsiaTheme="minorHAnsi"/>
          <w:b/>
          <w:bCs w:val="0"/>
          <w:vertAlign w:val="subscript"/>
          <w:lang w:val="en-GB"/>
        </w:rPr>
        <w:t>3</w:t>
      </w:r>
      <w:r w:rsidRPr="00F84E67">
        <w:t>O</w:t>
      </w:r>
      <w:r w:rsidRPr="00F84E67">
        <w:rPr>
          <w:rFonts w:eastAsiaTheme="minorHAnsi"/>
          <w:b/>
          <w:bCs w:val="0"/>
          <w:vertAlign w:val="subscript"/>
          <w:lang w:val="en-GB"/>
        </w:rPr>
        <w:t>4</w:t>
      </w:r>
      <w:r w:rsidRPr="00F84E67">
        <w:t>/GO was followed. In detail, 20 mL each of 1%, 3% and 6% PVP solutions were added in order into every 100 mL Fe</w:t>
      </w:r>
      <w:r w:rsidRPr="00F84E67">
        <w:rPr>
          <w:vertAlign w:val="subscript"/>
        </w:rPr>
        <w:t>3</w:t>
      </w:r>
      <w:r w:rsidRPr="00F84E67">
        <w:t>O</w:t>
      </w:r>
      <w:r w:rsidRPr="00F84E67">
        <w:rPr>
          <w:vertAlign w:val="subscript"/>
        </w:rPr>
        <w:t>4</w:t>
      </w:r>
      <w:r w:rsidRPr="00F84E67">
        <w:t>/GO to create FGP-1, FGP-3, FGP-6, respectively. The reaction was carried at 80℃, stirred for 4 h with N</w:t>
      </w:r>
      <w:r w:rsidRPr="00F84E67">
        <w:rPr>
          <w:vertAlign w:val="subscript"/>
        </w:rPr>
        <w:t>2</w:t>
      </w:r>
      <w:r w:rsidRPr="00F84E67">
        <w:t xml:space="preserve"> aeration throughout the process. Finally, the obtained PVP/Fe</w:t>
      </w:r>
      <w:r w:rsidRPr="00F84E67">
        <w:rPr>
          <w:rFonts w:eastAsiaTheme="minorHAnsi"/>
          <w:b/>
          <w:bCs w:val="0"/>
          <w:vertAlign w:val="subscript"/>
          <w:lang w:val="en-GB"/>
        </w:rPr>
        <w:t>3</w:t>
      </w:r>
      <w:r w:rsidRPr="00F84E67">
        <w:t>O</w:t>
      </w:r>
      <w:r w:rsidRPr="00F84E67">
        <w:rPr>
          <w:rFonts w:eastAsiaTheme="minorHAnsi"/>
          <w:b/>
          <w:bCs w:val="0"/>
          <w:vertAlign w:val="subscript"/>
          <w:lang w:val="en-GB"/>
        </w:rPr>
        <w:t>4</w:t>
      </w:r>
      <w:r w:rsidRPr="00F84E67">
        <w:t>/GO composites (FGP-1, FGP-3, FGP-6) were collected by magnets.</w:t>
      </w:r>
    </w:p>
    <w:p w14:paraId="0B4B2F2E" w14:textId="77777777" w:rsidR="004547E7" w:rsidRPr="00F84E67" w:rsidRDefault="004547E7" w:rsidP="004547E7">
      <w:pPr>
        <w:pStyle w:val="Heading2"/>
      </w:pPr>
      <w:r w:rsidRPr="00F84E67">
        <w:t>Characterization</w:t>
      </w:r>
    </w:p>
    <w:p w14:paraId="5E5DA08C" w14:textId="77777777" w:rsidR="004547E7" w:rsidRPr="00F84E67" w:rsidRDefault="004547E7" w:rsidP="004547E7">
      <w:pPr>
        <w:pStyle w:val="Text"/>
        <w:rPr>
          <w:lang w:val="vi-VN"/>
        </w:rPr>
      </w:pPr>
      <w:r w:rsidRPr="00F84E67">
        <w:t>The structural and morphology characterizations of PVP/Fe</w:t>
      </w:r>
      <w:r w:rsidRPr="00F84E67">
        <w:rPr>
          <w:vertAlign w:val="subscript"/>
          <w:lang w:val="en-GB"/>
        </w:rPr>
        <w:t>3</w:t>
      </w:r>
      <w:r w:rsidRPr="00F84E67">
        <w:t>O</w:t>
      </w:r>
      <w:r w:rsidRPr="00F84E67">
        <w:rPr>
          <w:vertAlign w:val="subscript"/>
          <w:lang w:val="en-GB"/>
        </w:rPr>
        <w:t>4</w:t>
      </w:r>
      <w:r w:rsidRPr="00F84E67">
        <w:t>/GO were performed by X-ray diffraction analysis (XRD Equinox 5000, Thermos Scientific, France), Fourier transform infrared spectroscopy (FT-IR Nicolet 6700 -Thermos company) and Field emission scanning electron microscope (FE-SEM)</w:t>
      </w:r>
      <w:r w:rsidRPr="00F84E67">
        <w:rPr>
          <w:lang w:val="vi-VN"/>
        </w:rPr>
        <w:t>.</w:t>
      </w:r>
      <w:r w:rsidRPr="00F84E67">
        <w:t xml:space="preserve"> Dynamic light scattering (DLS) was used to determine size distribution, specific surface area of absorbing materials was determined by BET method (Brumaire - Emmett - Teller). MB concentration was identified by UV-Vis, adsorption kinetics and type were investigated by experiential calculating and compared</w:t>
      </w:r>
      <w:r w:rsidRPr="00F84E67">
        <w:rPr>
          <w:lang w:val="vi-VN"/>
        </w:rPr>
        <w:t xml:space="preserve"> to theoretical Langmuir, Freundlich, and Dubinin-Radushkevich models.</w:t>
      </w:r>
    </w:p>
    <w:p w14:paraId="48E4F479" w14:textId="77777777" w:rsidR="004547E7" w:rsidRPr="00F84E67" w:rsidRDefault="004547E7" w:rsidP="004547E7">
      <w:pPr>
        <w:pStyle w:val="Heading2"/>
        <w:rPr>
          <w:lang w:val="en-GB"/>
        </w:rPr>
      </w:pPr>
      <w:r w:rsidRPr="00F84E67">
        <w:rPr>
          <w:lang w:val="en-GB"/>
        </w:rPr>
        <w:t>Applications of Fe</w:t>
      </w:r>
      <w:r w:rsidRPr="00F84E67">
        <w:rPr>
          <w:vertAlign w:val="subscript"/>
          <w:lang w:val="en-GB"/>
        </w:rPr>
        <w:t>3</w:t>
      </w:r>
      <w:r w:rsidRPr="00F84E67">
        <w:rPr>
          <w:lang w:val="en-GB"/>
        </w:rPr>
        <w:t>O</w:t>
      </w:r>
      <w:r w:rsidRPr="00F84E67">
        <w:rPr>
          <w:vertAlign w:val="subscript"/>
          <w:lang w:val="en-GB"/>
        </w:rPr>
        <w:t>4</w:t>
      </w:r>
      <w:r w:rsidRPr="00F84E67">
        <w:rPr>
          <w:lang w:val="en-GB"/>
        </w:rPr>
        <w:t>/GO/PVP for Methyl Blue removal</w:t>
      </w:r>
    </w:p>
    <w:p w14:paraId="1283A917" w14:textId="77777777" w:rsidR="004547E7" w:rsidRPr="00F84E67" w:rsidRDefault="004547E7" w:rsidP="004547E7">
      <w:pPr>
        <w:pStyle w:val="Heading3"/>
        <w:rPr>
          <w:lang w:val="en-GB"/>
        </w:rPr>
      </w:pPr>
      <w:r w:rsidRPr="00F84E67">
        <w:rPr>
          <w:lang w:val="en-GB"/>
        </w:rPr>
        <w:t xml:space="preserve">Identifying point of zero charge - PZC </w:t>
      </w:r>
    </w:p>
    <w:p w14:paraId="5FFA96BE" w14:textId="77777777" w:rsidR="004547E7" w:rsidRPr="00F84E67" w:rsidRDefault="004547E7" w:rsidP="004547E7">
      <w:pPr>
        <w:pStyle w:val="Text"/>
      </w:pPr>
      <w:r w:rsidRPr="00F84E67">
        <w:t>In this experiment, 10 mg of each type of material (FGP-1, FGP-3, FGP-6) was dissolved in 25 mL of KCl 0.1M, pH values</w:t>
      </w:r>
      <w:r w:rsidRPr="00F84E67">
        <w:rPr>
          <w:lang w:val="vi-VN"/>
        </w:rPr>
        <w:t xml:space="preserve"> </w:t>
      </w:r>
      <w:r w:rsidRPr="00F84E67">
        <w:t>were adjusted at certain levels from 3 to 11 by NaOH 0.1M and HCl 0.1M solutions.</w:t>
      </w:r>
      <w:r w:rsidRPr="00F84E67">
        <w:rPr>
          <w:lang w:val="vi-VN"/>
        </w:rPr>
        <w:t xml:space="preserve"> After </w:t>
      </w:r>
      <w:r w:rsidRPr="00F84E67">
        <w:t>shaking for 24 h, pH values were re-identified. Finally, the  pH</w:t>
      </w:r>
      <w:r w:rsidRPr="00F84E67">
        <w:rPr>
          <w:vertAlign w:val="subscript"/>
        </w:rPr>
        <w:t>PZC</w:t>
      </w:r>
      <w:r w:rsidRPr="00F84E67">
        <w:t xml:space="preserve"> of</w:t>
      </w:r>
      <w:r w:rsidRPr="00F84E67">
        <w:rPr>
          <w:sz w:val="24"/>
          <w:szCs w:val="24"/>
        </w:rPr>
        <w:t xml:space="preserve"> </w:t>
      </w:r>
      <w:r w:rsidRPr="00F84E67">
        <w:t>Fe</w:t>
      </w:r>
      <w:r w:rsidRPr="00F84E67">
        <w:rPr>
          <w:vertAlign w:val="subscript"/>
        </w:rPr>
        <w:t>3</w:t>
      </w:r>
      <w:r w:rsidRPr="00F84E67">
        <w:t>O</w:t>
      </w:r>
      <w:r w:rsidRPr="00F84E67">
        <w:rPr>
          <w:vertAlign w:val="subscript"/>
        </w:rPr>
        <w:t>4</w:t>
      </w:r>
      <w:r w:rsidRPr="00F84E67">
        <w:t>/GO/PVP was noted by the plotting line graph method.</w:t>
      </w:r>
    </w:p>
    <w:p w14:paraId="2B75EA7D" w14:textId="77777777" w:rsidR="004547E7" w:rsidRPr="00F84E67" w:rsidRDefault="004547E7" w:rsidP="004547E7">
      <w:pPr>
        <w:pStyle w:val="Heading3"/>
        <w:rPr>
          <w:lang w:val="en-GB"/>
        </w:rPr>
      </w:pPr>
      <w:r w:rsidRPr="00F84E67">
        <w:rPr>
          <w:lang w:val="en-GB"/>
        </w:rPr>
        <w:tab/>
        <w:t xml:space="preserve">Effecting factors to absorbing capacity of FGP adsorbents on methylene blue </w:t>
      </w:r>
    </w:p>
    <w:p w14:paraId="65B193BA" w14:textId="77777777" w:rsidR="004547E7" w:rsidRPr="00F84E67" w:rsidRDefault="004547E7" w:rsidP="004547E7">
      <w:pPr>
        <w:pStyle w:val="Text"/>
      </w:pPr>
      <w:r w:rsidRPr="00F84E67">
        <w:t xml:space="preserve">To investigate the adsorption capacity of three adsorbent types (FGP-1, FGP-3, FGP-6), the </w:t>
      </w:r>
      <w:r w:rsidRPr="00F84E67">
        <w:lastRenderedPageBreak/>
        <w:t>volume and concentration of MB solutions were fixed at 50 mL and 10 mg.L</w:t>
      </w:r>
      <w:r w:rsidRPr="00F84E67">
        <w:rPr>
          <w:vertAlign w:val="superscript"/>
        </w:rPr>
        <w:t>-1</w:t>
      </w:r>
      <w:r w:rsidRPr="00F84E67">
        <w:t xml:space="preserve">, </w:t>
      </w:r>
      <w:r w:rsidRPr="004547E7">
        <w:t>respectively</w:t>
      </w:r>
      <w:r w:rsidRPr="00F84E67">
        <w:t>. Every experiment was conducted with 10 mg of each adsorbent type (FGP-1, FGP-3, FGP-6). The solutions were sonicated for 30 seconds, continually stirred in a shaker for 60 min at 100 rpm at room temperature. After separating adsorbents by magnets, solutions was collected.</w:t>
      </w:r>
    </w:p>
    <w:p w14:paraId="687D29FF" w14:textId="77777777" w:rsidR="004547E7" w:rsidRPr="00F84E67" w:rsidRDefault="004547E7" w:rsidP="004547E7">
      <w:pPr>
        <w:pStyle w:val="Text"/>
      </w:pPr>
      <w:r w:rsidRPr="00F84E67">
        <w:t>The MB adsorption process was examined following alternating each variable method to determine the optimal conditions for the whole process. The pH factor was adjusted from 4.5 to 8.5 by NaOH 0.1M and HCl 0.1M solutions, the adsorbent concentration varied from 5 mg.L</w:t>
      </w:r>
      <w:r w:rsidRPr="00F84E67">
        <w:rPr>
          <w:vertAlign w:val="superscript"/>
        </w:rPr>
        <w:t>-1</w:t>
      </w:r>
      <w:r w:rsidRPr="00F84E67">
        <w:t xml:space="preserve"> to 30 mg.L</w:t>
      </w:r>
      <w:r w:rsidRPr="00F84E67">
        <w:rPr>
          <w:vertAlign w:val="superscript"/>
        </w:rPr>
        <w:t xml:space="preserve">-1 </w:t>
      </w:r>
      <w:r w:rsidRPr="00F84E67">
        <w:t>in 1 - 24 h and adsorbents mass from 5 - 50 mg. The MB concentration after the adsorption process was determined by UV-Vis measurement after separating sorbents. The equilibrium adsorbed concentration, q</w:t>
      </w:r>
      <w:r w:rsidRPr="00F84E67">
        <w:rPr>
          <w:vertAlign w:val="subscript"/>
        </w:rPr>
        <w:t>e</w:t>
      </w:r>
      <w:r w:rsidRPr="00F84E67">
        <w:t>, and</w:t>
      </w:r>
      <w:r w:rsidRPr="00F84E67">
        <w:rPr>
          <w:lang w:val="vi-VN"/>
        </w:rPr>
        <w:t xml:space="preserve"> adsorption efficiency, </w:t>
      </w:r>
      <w:r w:rsidRPr="00F84E67">
        <w:t>E</w:t>
      </w:r>
      <w:r w:rsidRPr="00F84E67">
        <w:rPr>
          <w:lang w:val="vi-VN"/>
        </w:rPr>
        <w:t xml:space="preserve">%, </w:t>
      </w:r>
      <w:r w:rsidRPr="00F84E67">
        <w:t>were calculated according to the equation:</w:t>
      </w:r>
    </w:p>
    <w:tbl>
      <w:tblPr>
        <w:tblStyle w:val="TableGrid"/>
        <w:tblW w:w="0" w:type="auto"/>
        <w:jc w:val="center"/>
        <w:tblBorders>
          <w:top w:val="none" w:sz="0" w:space="0" w:color="auto"/>
          <w:bottom w:val="none" w:sz="0" w:space="0" w:color="auto"/>
          <w:insideH w:val="none" w:sz="0" w:space="0" w:color="auto"/>
        </w:tblBorders>
        <w:tblLook w:val="04A0" w:firstRow="1" w:lastRow="0" w:firstColumn="1" w:lastColumn="0" w:noHBand="0" w:noVBand="1"/>
      </w:tblPr>
      <w:tblGrid>
        <w:gridCol w:w="1276"/>
        <w:gridCol w:w="416"/>
        <w:gridCol w:w="1732"/>
      </w:tblGrid>
      <w:tr w:rsidR="004547E7" w:rsidRPr="00F84E67" w14:paraId="3091B2A7" w14:textId="77777777" w:rsidTr="003D0EE0">
        <w:trPr>
          <w:trHeight w:val="365"/>
          <w:jc w:val="center"/>
        </w:trPr>
        <w:tc>
          <w:tcPr>
            <w:tcW w:w="1276" w:type="dxa"/>
          </w:tcPr>
          <w:p w14:paraId="24C11D44" w14:textId="77777777" w:rsidR="004547E7" w:rsidRPr="00F84E67" w:rsidRDefault="004547E7" w:rsidP="003D0EE0">
            <w:pPr>
              <w:pStyle w:val="Text"/>
              <w:spacing w:before="0" w:after="0"/>
              <w:jc w:val="left"/>
              <w:rPr>
                <w:rFonts w:cs="Times New Roman"/>
                <w:szCs w:val="20"/>
                <w:lang w:val="vi-VN"/>
              </w:rPr>
            </w:pPr>
            <w:r w:rsidRPr="00F84E67">
              <w:rPr>
                <w:noProof/>
              </w:rPr>
              <w:drawing>
                <wp:inline distT="0" distB="0" distL="0" distR="0" wp14:anchorId="796E3F73" wp14:editId="158525CD">
                  <wp:extent cx="786992" cy="3054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87966" cy="305877"/>
                          </a:xfrm>
                          <a:prstGeom prst="rect">
                            <a:avLst/>
                          </a:prstGeom>
                        </pic:spPr>
                      </pic:pic>
                    </a:graphicData>
                  </a:graphic>
                </wp:inline>
              </w:drawing>
            </w:r>
          </w:p>
        </w:tc>
        <w:tc>
          <w:tcPr>
            <w:tcW w:w="416" w:type="dxa"/>
            <w:vAlign w:val="center"/>
          </w:tcPr>
          <w:p w14:paraId="1F8C7653" w14:textId="77777777" w:rsidR="004547E7" w:rsidRPr="00F84E67" w:rsidRDefault="004547E7" w:rsidP="003D0EE0">
            <w:pPr>
              <w:pStyle w:val="Text"/>
              <w:spacing w:before="0" w:after="0"/>
              <w:jc w:val="center"/>
              <w:rPr>
                <w:noProof/>
              </w:rPr>
            </w:pPr>
            <w:r w:rsidRPr="00F84E67">
              <w:rPr>
                <w:rFonts w:cs="Times New Roman"/>
                <w:szCs w:val="20"/>
                <w:lang w:val="vi-VN"/>
              </w:rPr>
              <w:t>and</w:t>
            </w:r>
          </w:p>
        </w:tc>
        <w:tc>
          <w:tcPr>
            <w:tcW w:w="1732" w:type="dxa"/>
          </w:tcPr>
          <w:p w14:paraId="6AA3FF9A" w14:textId="77777777" w:rsidR="004547E7" w:rsidRPr="00F84E67" w:rsidRDefault="004547E7" w:rsidP="003D0EE0">
            <w:pPr>
              <w:pStyle w:val="Text"/>
              <w:spacing w:before="0" w:after="0"/>
              <w:jc w:val="center"/>
              <w:rPr>
                <w:rFonts w:cs="Times New Roman"/>
                <w:szCs w:val="20"/>
              </w:rPr>
            </w:pPr>
            <w:r w:rsidRPr="00F84E67">
              <w:rPr>
                <w:noProof/>
              </w:rPr>
              <w:drawing>
                <wp:inline distT="0" distB="0" distL="0" distR="0" wp14:anchorId="3007E93D" wp14:editId="3A8B92BE">
                  <wp:extent cx="1018572" cy="336291"/>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55301" cy="348418"/>
                          </a:xfrm>
                          <a:prstGeom prst="rect">
                            <a:avLst/>
                          </a:prstGeom>
                        </pic:spPr>
                      </pic:pic>
                    </a:graphicData>
                  </a:graphic>
                </wp:inline>
              </w:drawing>
            </w:r>
          </w:p>
        </w:tc>
      </w:tr>
    </w:tbl>
    <w:p w14:paraId="607F863C" w14:textId="77777777" w:rsidR="004547E7" w:rsidRPr="00F84E67" w:rsidRDefault="004547E7" w:rsidP="004547E7">
      <w:pPr>
        <w:pStyle w:val="Text"/>
      </w:pPr>
      <w:r w:rsidRPr="00F84E67">
        <w:t>Where C</w:t>
      </w:r>
      <w:r w:rsidRPr="00F84E67">
        <w:rPr>
          <w:vertAlign w:val="subscript"/>
        </w:rPr>
        <w:t>0</w:t>
      </w:r>
      <w:r w:rsidRPr="00F84E67">
        <w:t xml:space="preserve"> (mmol.L</w:t>
      </w:r>
      <w:r w:rsidRPr="00F84E67">
        <w:rPr>
          <w:vertAlign w:val="superscript"/>
        </w:rPr>
        <w:t>-1</w:t>
      </w:r>
      <w:r w:rsidRPr="00F84E67">
        <w:t>) is the initial MB concentration, C</w:t>
      </w:r>
      <w:r w:rsidRPr="00F84E67">
        <w:rPr>
          <w:vertAlign w:val="subscript"/>
        </w:rPr>
        <w:t>e</w:t>
      </w:r>
      <w:r w:rsidRPr="00F84E67">
        <w:t xml:space="preserve"> (mmol.L</w:t>
      </w:r>
      <w:r w:rsidRPr="00F84E67">
        <w:rPr>
          <w:vertAlign w:val="superscript"/>
        </w:rPr>
        <w:t>-1</w:t>
      </w:r>
      <w:r w:rsidRPr="00F84E67">
        <w:t xml:space="preserve">) is the equilibrium concentration in solution, V (L) is the total volume of solution, and M (g) </w:t>
      </w:r>
      <w:r w:rsidRPr="004547E7">
        <w:t>is</w:t>
      </w:r>
      <w:r w:rsidRPr="00F84E67">
        <w:t xml:space="preserve"> the sorbent mass.</w:t>
      </w:r>
    </w:p>
    <w:p w14:paraId="174D9646" w14:textId="77777777" w:rsidR="004547E7" w:rsidRPr="00F84E67" w:rsidRDefault="004547E7" w:rsidP="004547E7">
      <w:pPr>
        <w:pStyle w:val="Heading1"/>
      </w:pPr>
      <w:r w:rsidRPr="00F84E67">
        <w:t xml:space="preserve">results and discussion </w:t>
      </w:r>
    </w:p>
    <w:p w14:paraId="168AB32E" w14:textId="77777777" w:rsidR="004547E7" w:rsidRPr="00F84E67" w:rsidRDefault="004547E7" w:rsidP="004547E7">
      <w:pPr>
        <w:pStyle w:val="Heading2"/>
      </w:pPr>
      <w:r w:rsidRPr="00F84E67">
        <w:t>Characterizations</w:t>
      </w:r>
    </w:p>
    <w:p w14:paraId="6208A494" w14:textId="77777777" w:rsidR="004547E7" w:rsidRPr="00F84E67" w:rsidRDefault="004547E7" w:rsidP="004547E7">
      <w:pPr>
        <w:pStyle w:val="Heading3"/>
      </w:pPr>
      <w:r w:rsidRPr="00F84E67">
        <w:t>XRD pattern</w:t>
      </w:r>
    </w:p>
    <w:p w14:paraId="009EBCCD" w14:textId="77777777" w:rsidR="004547E7" w:rsidRDefault="004547E7" w:rsidP="004547E7">
      <w:pPr>
        <w:pStyle w:val="Text"/>
      </w:pPr>
      <w:r w:rsidRPr="00F84E67">
        <w:t>The X-ray diffraction patterns of Graphite, GO and FGP-3  are shown in Figure 1. Characteristic diffraction peaks of battery-separated graphite 2θ at 26.58°</w:t>
      </w:r>
      <w:r w:rsidRPr="00F84E67">
        <w:rPr>
          <w:lang w:val="vi-VN"/>
        </w:rPr>
        <w:t xml:space="preserve"> </w:t>
      </w:r>
      <w:r w:rsidRPr="004547E7">
        <w:t>corresponding</w:t>
      </w:r>
      <w:r w:rsidRPr="00F84E67">
        <w:t xml:space="preserve"> to (111)</w:t>
      </w:r>
      <w:r w:rsidRPr="00F84E67">
        <w:rPr>
          <w:lang w:val="vi-VN"/>
        </w:rPr>
        <w:t xml:space="preserve"> and several low</w:t>
      </w:r>
      <w:r w:rsidRPr="00F84E67">
        <w:t xml:space="preserve"> intensity peaks at 43.76° and 54.18°. The main diffraction peaks of graphite were narrow and sharp, showing an ordered and high crystal structure, which was similar to Lipson’ study (1942). In addition, the result showed no metal peaks present in these samples. </w:t>
      </w:r>
    </w:p>
    <w:p w14:paraId="64BDC1B0" w14:textId="77777777" w:rsidR="00DD3810" w:rsidRPr="00F84E67" w:rsidRDefault="00DD3810" w:rsidP="00DD3810">
      <w:pPr>
        <w:pStyle w:val="Text"/>
      </w:pPr>
      <w:r w:rsidRPr="00F84E67">
        <w:t>Graphite oxidation processes with KMnO</w:t>
      </w:r>
      <w:r w:rsidRPr="00F84E67">
        <w:rPr>
          <w:vertAlign w:val="subscript"/>
        </w:rPr>
        <w:t>4</w:t>
      </w:r>
      <w:r w:rsidRPr="00F84E67">
        <w:t xml:space="preserve"> and high temperature markedly changed the graphite structure. In both </w:t>
      </w:r>
      <w:r w:rsidRPr="004547E7">
        <w:t>samples</w:t>
      </w:r>
      <w:r w:rsidRPr="00F84E67">
        <w:t>, new diffraction peaks of 10.91° and 10.58° appeared in the GO-2 and GO-2.5 samples, respectively. The distances between the layers were 8</w:t>
      </w:r>
      <w:r w:rsidRPr="00F84E67">
        <w:rPr>
          <w:lang w:val="vi-VN"/>
        </w:rPr>
        <w:t>.</w:t>
      </w:r>
      <w:r w:rsidRPr="00F84E67">
        <w:t>102 Å and 8</w:t>
      </w:r>
      <w:r w:rsidRPr="00F84E67">
        <w:rPr>
          <w:lang w:val="vi-VN"/>
        </w:rPr>
        <w:t>.</w:t>
      </w:r>
      <w:r w:rsidRPr="00F84E67">
        <w:t xml:space="preserve">352 Å for the GO-2 and GO-2.5 samples, respectively. These values were larger than that of pure graphite (3.372 Å). </w:t>
      </w:r>
    </w:p>
    <w:tbl>
      <w:tblPr>
        <w:tblStyle w:val="TableGrid"/>
        <w:tblW w:w="4107" w:type="dxa"/>
        <w:jc w:val="center"/>
        <w:tblBorders>
          <w:top w:val="none" w:sz="0" w:space="0" w:color="auto"/>
          <w:bottom w:val="none" w:sz="0" w:space="0" w:color="auto"/>
          <w:insideH w:val="none" w:sz="0" w:space="0" w:color="auto"/>
        </w:tblBorders>
        <w:tblLook w:val="04A0" w:firstRow="1" w:lastRow="0" w:firstColumn="1" w:lastColumn="0" w:noHBand="0" w:noVBand="1"/>
      </w:tblPr>
      <w:tblGrid>
        <w:gridCol w:w="4107"/>
      </w:tblGrid>
      <w:tr w:rsidR="004547E7" w:rsidRPr="00F84E67" w14:paraId="7CA732EA" w14:textId="77777777" w:rsidTr="00827459">
        <w:trPr>
          <w:trHeight w:val="2596"/>
          <w:jc w:val="center"/>
        </w:trPr>
        <w:tc>
          <w:tcPr>
            <w:tcW w:w="4107" w:type="dxa"/>
          </w:tcPr>
          <w:p w14:paraId="5EBC6623" w14:textId="77777777" w:rsidR="004547E7" w:rsidRPr="00F84E67" w:rsidRDefault="004547E7" w:rsidP="004547E7">
            <w:pPr>
              <w:pStyle w:val="Text"/>
              <w:jc w:val="center"/>
              <w:rPr>
                <w:rFonts w:cs="Times New Roman"/>
                <w:szCs w:val="20"/>
              </w:rPr>
            </w:pPr>
            <w:r w:rsidRPr="00F84E67">
              <w:rPr>
                <w:noProof/>
              </w:rPr>
              <w:drawing>
                <wp:inline distT="0" distB="0" distL="0" distR="0" wp14:anchorId="178944BD" wp14:editId="081EC59B">
                  <wp:extent cx="1963973" cy="196397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84891" cy="1984891"/>
                          </a:xfrm>
                          <a:prstGeom prst="rect">
                            <a:avLst/>
                          </a:prstGeom>
                        </pic:spPr>
                      </pic:pic>
                    </a:graphicData>
                  </a:graphic>
                </wp:inline>
              </w:drawing>
            </w:r>
          </w:p>
        </w:tc>
      </w:tr>
    </w:tbl>
    <w:p w14:paraId="355931EC" w14:textId="77777777" w:rsidR="00827459" w:rsidRDefault="00827459" w:rsidP="00827459">
      <w:pPr>
        <w:pStyle w:val="FigureTitlte"/>
      </w:pPr>
      <w:r w:rsidRPr="00F84E67">
        <w:t>Figure 1. XRD patterns of Graphite</w:t>
      </w:r>
      <w:r w:rsidRPr="00F84E67">
        <w:rPr>
          <w:lang w:val="vi-VN"/>
        </w:rPr>
        <w:t>,</w:t>
      </w:r>
      <w:r w:rsidRPr="00F84E67">
        <w:t xml:space="preserve"> GO</w:t>
      </w:r>
      <w:r>
        <w:t xml:space="preserve"> </w:t>
      </w:r>
      <w:r w:rsidRPr="00F84E67">
        <w:rPr>
          <w:lang w:val="vi-VN"/>
        </w:rPr>
        <w:t xml:space="preserve">and </w:t>
      </w:r>
      <w:r w:rsidRPr="004547E7">
        <w:t>FGP</w:t>
      </w:r>
      <w:r w:rsidRPr="00F84E67">
        <w:t>-3</w:t>
      </w:r>
    </w:p>
    <w:p w14:paraId="39DCE867" w14:textId="77777777" w:rsidR="004547E7" w:rsidRPr="00F84E67" w:rsidRDefault="004547E7" w:rsidP="004547E7">
      <w:pPr>
        <w:pStyle w:val="Text"/>
      </w:pPr>
      <w:r w:rsidRPr="00F84E67">
        <w:t>The presence of oxygen-containing functional groups in the interlayers facilitates the hydration and delamination process of GO in aqueous environment (Cui et al., 2011; Thema et al., 2013). The distances between GO layers were 0.812 nm, 0.8352 nm compared to pure graphite values of 0.3372 nm. However, the diffraction peaks of the GO-2</w:t>
      </w:r>
      <w:r w:rsidRPr="00F84E67">
        <w:rPr>
          <w:lang w:val="vi-VN"/>
        </w:rPr>
        <w:t>.</w:t>
      </w:r>
      <w:r w:rsidRPr="00F84E67">
        <w:t>5 sample were not sharp, low crystallization and contained graphite peak. The main reason could be that the amount of reducing agent was not enough to remove graphite. Therefore, these peaks had not high crystallinity and the peak of residual graphite remained. In GO-2 sample, a peak at 2θ of 26.58° did not appear. This showed that the graphite has been completely oxidized and residual metal ions in GO solution disappear.</w:t>
      </w:r>
    </w:p>
    <w:p w14:paraId="6ACC7DB3" w14:textId="77777777" w:rsidR="004547E7" w:rsidRPr="00F84E67" w:rsidRDefault="004547E7" w:rsidP="004547E7">
      <w:pPr>
        <w:pStyle w:val="Text"/>
      </w:pPr>
      <w:r w:rsidRPr="00F84E67">
        <w:t>For</w:t>
      </w:r>
      <w:r w:rsidRPr="00F84E67">
        <w:rPr>
          <w:lang w:val="vi-VN"/>
        </w:rPr>
        <w:t xml:space="preserve"> FGP-3</w:t>
      </w:r>
      <w:r w:rsidRPr="00F84E67">
        <w:t xml:space="preserve">, the characteristic diffraction peaks shown at 2θ of 30.01°; 36.1°; 43.7°; 54.08°; 57.6° and 63.06° accordingly with (220), (311), (400), (422), (511) and (440), </w:t>
      </w:r>
      <w:r w:rsidRPr="004547E7">
        <w:t>respectively</w:t>
      </w:r>
      <w:r w:rsidRPr="00F84E67">
        <w:rPr>
          <w:lang w:val="vi-VN"/>
        </w:rPr>
        <w:t xml:space="preserve">. </w:t>
      </w:r>
      <w:r w:rsidRPr="00F84E67">
        <w:t>These results were consistent with the standard tag (JCPDS No.65-3107) and some previous studies (Chen et al., 2011; Le et al., 2020). The result showed that the crystallinity of Fe</w:t>
      </w:r>
      <w:r w:rsidRPr="00F84E67">
        <w:rPr>
          <w:vertAlign w:val="subscript"/>
        </w:rPr>
        <w:t>3</w:t>
      </w:r>
      <w:r w:rsidRPr="00F84E67">
        <w:t>O</w:t>
      </w:r>
      <w:r w:rsidRPr="00F84E67">
        <w:rPr>
          <w:vertAlign w:val="subscript"/>
        </w:rPr>
        <w:t>4</w:t>
      </w:r>
      <w:r w:rsidRPr="00F84E67">
        <w:t xml:space="preserve"> underwent no change after direct coating with GO and surface stabling with PVP. The absence of the characteristic diffraction peak of GO (2θ  = 10.91°) proved that the GO layers have been completely delaminated by sonication during synthesis process. In addition, there was no crystallization of PVP compared to standard tag. Thus, PVP surfactant could not affect the formation of ferromagnetic particles. However, the diffraction peak of FGP were wider than FG, which showed that PVP could control the size of nanoparticle (Luong et at., 2012). This could be explained the foaming and thermal effects of the ultrasonic waves </w:t>
      </w:r>
      <w:r w:rsidRPr="00F84E67">
        <w:lastRenderedPageBreak/>
        <w:t>on dispersion of the surfactants. The particle size can also be effectively controlled by surfactant under ultrasonic condition (Tural et al., 2009; Feng et al., 2011).</w:t>
      </w:r>
    </w:p>
    <w:p w14:paraId="41FF2467" w14:textId="77777777" w:rsidR="004547E7" w:rsidRPr="00F84E67" w:rsidRDefault="004547E7" w:rsidP="004547E7">
      <w:pPr>
        <w:pStyle w:val="Heading3"/>
      </w:pPr>
      <w:r w:rsidRPr="00F84E67">
        <w:t>FT-IR Infrared Spectrum</w:t>
      </w:r>
    </w:p>
    <w:p w14:paraId="74245E4E" w14:textId="77777777" w:rsidR="004547E7" w:rsidRPr="00F84E67" w:rsidRDefault="004547E7" w:rsidP="004547E7">
      <w:pPr>
        <w:pStyle w:val="Text"/>
      </w:pPr>
      <w:r w:rsidRPr="00F84E67">
        <w:t>The infrared spectrum of the GO sample is shown in Figure 2. In detail, characteristic absorption bands of oxygen-containing functional group at 3684 cm</w:t>
      </w:r>
      <w:r w:rsidRPr="00F84E67">
        <w:rPr>
          <w:vertAlign w:val="superscript"/>
        </w:rPr>
        <w:t>-1</w:t>
      </w:r>
      <w:r w:rsidRPr="00F84E67">
        <w:t xml:space="preserve"> corresponds to the valence vibrations of the O–H bonds. 3024 cm</w:t>
      </w:r>
      <w:r w:rsidRPr="00F84E67">
        <w:rPr>
          <w:vertAlign w:val="superscript"/>
        </w:rPr>
        <w:t>-1</w:t>
      </w:r>
      <w:r w:rsidRPr="00F84E67">
        <w:t xml:space="preserve"> and 2895 cm</w:t>
      </w:r>
      <w:r w:rsidRPr="00F84E67">
        <w:rPr>
          <w:vertAlign w:val="superscript"/>
        </w:rPr>
        <w:t>-1</w:t>
      </w:r>
      <w:r w:rsidRPr="00F84E67">
        <w:t xml:space="preserve"> corresponds to the vibration of the =C-H bond. </w:t>
      </w:r>
      <w:r w:rsidRPr="004547E7">
        <w:t>2810</w:t>
      </w:r>
      <w:r w:rsidRPr="00F84E67">
        <w:t xml:space="preserve"> cm</w:t>
      </w:r>
      <w:r w:rsidRPr="00F84E67">
        <w:rPr>
          <w:vertAlign w:val="superscript"/>
        </w:rPr>
        <w:t>-1</w:t>
      </w:r>
      <w:r w:rsidRPr="00F84E67">
        <w:t xml:space="preserve"> is the oscillation of the –C-H bond. 1808 cm</w:t>
      </w:r>
      <w:r w:rsidRPr="00F84E67">
        <w:rPr>
          <w:vertAlign w:val="superscript"/>
        </w:rPr>
        <w:t>-1</w:t>
      </w:r>
      <w:r w:rsidRPr="00F84E67">
        <w:t>, 1697 cm</w:t>
      </w:r>
      <w:r w:rsidRPr="00F84E67">
        <w:rPr>
          <w:vertAlign w:val="superscript"/>
        </w:rPr>
        <w:t>-1</w:t>
      </w:r>
      <w:r w:rsidRPr="00F84E67">
        <w:t xml:space="preserve"> corresponds to</w:t>
      </w:r>
      <w:r w:rsidRPr="00F84E67">
        <w:rPr>
          <w:sz w:val="24"/>
          <w:szCs w:val="24"/>
        </w:rPr>
        <w:t xml:space="preserve"> </w:t>
      </w:r>
      <w:r w:rsidRPr="00F84E67">
        <w:t>vibrations of C=O bonds in the aldehyde group, 1554 cm</w:t>
      </w:r>
      <w:r w:rsidRPr="00F84E67">
        <w:rPr>
          <w:vertAlign w:val="superscript"/>
        </w:rPr>
        <w:t>-1</w:t>
      </w:r>
      <w:r w:rsidRPr="00F84E67">
        <w:t>, 429 cm</w:t>
      </w:r>
      <w:r w:rsidRPr="00F84E67">
        <w:rPr>
          <w:vertAlign w:val="superscript"/>
        </w:rPr>
        <w:t>-1</w:t>
      </w:r>
      <w:r w:rsidRPr="00F84E67">
        <w:t xml:space="preserve"> corresponds to vibrations of C=C and 1204 cm</w:t>
      </w:r>
      <w:r w:rsidRPr="00F84E67">
        <w:rPr>
          <w:vertAlign w:val="superscript"/>
        </w:rPr>
        <w:t>-1</w:t>
      </w:r>
      <w:r w:rsidRPr="00F84E67">
        <w:t>, 911 cm</w:t>
      </w:r>
      <w:r w:rsidRPr="00F84E67">
        <w:rPr>
          <w:vertAlign w:val="superscript"/>
        </w:rPr>
        <w:t>-1</w:t>
      </w:r>
      <w:r w:rsidRPr="00F84E67">
        <w:t xml:space="preserve"> are vibrations containing oxygen bonds in the vinyl ether and epoxy groups, respectively (Le, 2019). This again confirms the successful oxidation of graphite to graphene oxide.</w:t>
      </w:r>
    </w:p>
    <w:tbl>
      <w:tblPr>
        <w:tblStyle w:val="TableGrid"/>
        <w:tblW w:w="0" w:type="auto"/>
        <w:jc w:val="center"/>
        <w:tblBorders>
          <w:top w:val="none" w:sz="0" w:space="0" w:color="auto"/>
          <w:bottom w:val="none" w:sz="0" w:space="0" w:color="auto"/>
          <w:insideH w:val="none" w:sz="0" w:space="0" w:color="auto"/>
        </w:tblBorders>
        <w:tblLook w:val="04A0" w:firstRow="1" w:lastRow="0" w:firstColumn="1" w:lastColumn="0" w:noHBand="0" w:noVBand="1"/>
      </w:tblPr>
      <w:tblGrid>
        <w:gridCol w:w="4138"/>
      </w:tblGrid>
      <w:tr w:rsidR="00827459" w:rsidRPr="00F84E67" w14:paraId="45534A2A" w14:textId="77777777" w:rsidTr="004547E7">
        <w:trPr>
          <w:trHeight w:val="1789"/>
          <w:jc w:val="center"/>
        </w:trPr>
        <w:tc>
          <w:tcPr>
            <w:tcW w:w="3533" w:type="dxa"/>
          </w:tcPr>
          <w:p w14:paraId="3242BCD7" w14:textId="77777777" w:rsidR="004547E7" w:rsidRPr="00F84E67" w:rsidRDefault="004547E7" w:rsidP="003D0EE0">
            <w:pPr>
              <w:pStyle w:val="Text"/>
              <w:jc w:val="center"/>
              <w:rPr>
                <w:rFonts w:cs="Times New Roman"/>
                <w:szCs w:val="20"/>
              </w:rPr>
            </w:pPr>
            <w:r w:rsidRPr="00F84E67">
              <w:rPr>
                <w:rFonts w:cs="Times New Roman"/>
                <w:noProof/>
                <w:szCs w:val="20"/>
              </w:rPr>
              <w:drawing>
                <wp:inline distT="0" distB="0" distL="0" distR="0" wp14:anchorId="1F8F6E9A" wp14:editId="5C92D2A0">
                  <wp:extent cx="2619784" cy="1710345"/>
                  <wp:effectExtent l="0" t="0" r="0" b="444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944" t="2692" r="2161" b="3805"/>
                          <a:stretch/>
                        </pic:blipFill>
                        <pic:spPr bwMode="auto">
                          <a:xfrm>
                            <a:off x="0" y="0"/>
                            <a:ext cx="2709885" cy="1769168"/>
                          </a:xfrm>
                          <a:prstGeom prst="rect">
                            <a:avLst/>
                          </a:prstGeom>
                          <a:ln>
                            <a:noFill/>
                          </a:ln>
                          <a:extLst>
                            <a:ext uri="{53640926-AAD7-44D8-BBD7-CCE9431645EC}">
                              <a14:shadowObscured xmlns:a14="http://schemas.microsoft.com/office/drawing/2010/main"/>
                            </a:ext>
                          </a:extLst>
                        </pic:spPr>
                      </pic:pic>
                    </a:graphicData>
                  </a:graphic>
                </wp:inline>
              </w:drawing>
            </w:r>
          </w:p>
        </w:tc>
      </w:tr>
    </w:tbl>
    <w:p w14:paraId="275100BB" w14:textId="77777777" w:rsidR="00827459" w:rsidRDefault="00827459" w:rsidP="00827459">
      <w:pPr>
        <w:pStyle w:val="FigureTitlte"/>
      </w:pPr>
      <w:r w:rsidRPr="00F84E67">
        <w:t>Figure 2. FT-IR of GO</w:t>
      </w:r>
    </w:p>
    <w:tbl>
      <w:tblPr>
        <w:tblStyle w:val="TableGrid"/>
        <w:tblW w:w="0" w:type="auto"/>
        <w:jc w:val="center"/>
        <w:tblBorders>
          <w:top w:val="none" w:sz="0" w:space="0" w:color="auto"/>
          <w:bottom w:val="none" w:sz="0" w:space="0" w:color="auto"/>
          <w:insideH w:val="none" w:sz="0" w:space="0" w:color="auto"/>
        </w:tblBorders>
        <w:tblLook w:val="04A0" w:firstRow="1" w:lastRow="0" w:firstColumn="1" w:lastColumn="0" w:noHBand="0" w:noVBand="1"/>
      </w:tblPr>
      <w:tblGrid>
        <w:gridCol w:w="4121"/>
      </w:tblGrid>
      <w:tr w:rsidR="004547E7" w:rsidRPr="00F84E67" w14:paraId="31F66BCC" w14:textId="77777777" w:rsidTr="00FC02BF">
        <w:trPr>
          <w:trHeight w:val="1925"/>
          <w:jc w:val="center"/>
        </w:trPr>
        <w:tc>
          <w:tcPr>
            <w:tcW w:w="3901" w:type="dxa"/>
          </w:tcPr>
          <w:p w14:paraId="6995C6BF" w14:textId="77777777" w:rsidR="004547E7" w:rsidRPr="00F84E67" w:rsidRDefault="004547E7" w:rsidP="003D0EE0">
            <w:pPr>
              <w:pStyle w:val="Text"/>
              <w:jc w:val="center"/>
              <w:rPr>
                <w:rFonts w:cs="Times New Roman"/>
                <w:szCs w:val="20"/>
              </w:rPr>
            </w:pPr>
            <w:r w:rsidRPr="00F84E67">
              <w:rPr>
                <w:rFonts w:cs="Times New Roman"/>
                <w:noProof/>
                <w:szCs w:val="20"/>
              </w:rPr>
              <w:drawing>
                <wp:inline distT="0" distB="0" distL="0" distR="0" wp14:anchorId="07A72550" wp14:editId="2846503E">
                  <wp:extent cx="2599176" cy="1708030"/>
                  <wp:effectExtent l="0" t="0" r="0" b="698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1519" t="1561"/>
                          <a:stretch/>
                        </pic:blipFill>
                        <pic:spPr bwMode="auto">
                          <a:xfrm>
                            <a:off x="0" y="0"/>
                            <a:ext cx="2633445" cy="17305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59245DA" w14:textId="77777777" w:rsidR="00827459" w:rsidRDefault="00827459" w:rsidP="00827459">
      <w:pPr>
        <w:pStyle w:val="FigureTitlte"/>
      </w:pPr>
      <w:r w:rsidRPr="00F84E67">
        <w:t>Figure 3. FT-IR of FGP-1, FGP-</w:t>
      </w:r>
      <w:r>
        <w:t xml:space="preserve">3 and </w:t>
      </w:r>
      <w:r w:rsidRPr="00F84E67">
        <w:t>FGP-6</w:t>
      </w:r>
    </w:p>
    <w:p w14:paraId="678EA6BE" w14:textId="77777777" w:rsidR="00DD3810" w:rsidRDefault="00DD3810" w:rsidP="00DD3810">
      <w:pPr>
        <w:pStyle w:val="Text"/>
      </w:pPr>
      <w:r w:rsidRPr="00F84E67">
        <w:t>Fe</w:t>
      </w:r>
      <w:r w:rsidRPr="00F84E67">
        <w:rPr>
          <w:vertAlign w:val="subscript"/>
        </w:rPr>
        <w:t>3</w:t>
      </w:r>
      <w:r w:rsidRPr="00F84E67">
        <w:t>O</w:t>
      </w:r>
      <w:r w:rsidRPr="00F84E67">
        <w:rPr>
          <w:vertAlign w:val="subscript"/>
        </w:rPr>
        <w:t>4</w:t>
      </w:r>
      <w:r w:rsidRPr="00F84E67">
        <w:t xml:space="preserve"> particles with peaks at 559 cm</w:t>
      </w:r>
      <w:r w:rsidRPr="00F84E67">
        <w:rPr>
          <w:vertAlign w:val="superscript"/>
        </w:rPr>
        <w:t>-1</w:t>
      </w:r>
      <w:r w:rsidRPr="00F84E67">
        <w:t xml:space="preserve"> of FGP-1, FGP-3 and FGP-6 belong to the stretching vibration region of Fe–O bond, which is characteristic of Fe</w:t>
      </w:r>
      <w:r w:rsidRPr="00F84E67">
        <w:rPr>
          <w:vertAlign w:val="subscript"/>
        </w:rPr>
        <w:t>3</w:t>
      </w:r>
      <w:r w:rsidRPr="00F84E67">
        <w:t>O</w:t>
      </w:r>
      <w:r w:rsidRPr="00F84E67">
        <w:rPr>
          <w:vertAlign w:val="subscript"/>
        </w:rPr>
        <w:t>4</w:t>
      </w:r>
      <w:r w:rsidRPr="00F84E67">
        <w:t xml:space="preserve"> materials (Guan et al., 2010). The absorption bands at 3420 cm</w:t>
      </w:r>
      <w:r w:rsidRPr="00F84E67">
        <w:rPr>
          <w:vertAlign w:val="superscript"/>
        </w:rPr>
        <w:t>-1</w:t>
      </w:r>
      <w:r w:rsidRPr="00F84E67">
        <w:t xml:space="preserve"> are related to the elongation oscillation of –OH. These regions indicate the existence of hydroxyl groups connecting to the surfaces of Fe</w:t>
      </w:r>
      <w:r w:rsidRPr="00F84E67">
        <w:rPr>
          <w:vertAlign w:val="subscript"/>
        </w:rPr>
        <w:t>3</w:t>
      </w:r>
      <w:r w:rsidRPr="00F84E67">
        <w:t>O</w:t>
      </w:r>
      <w:r w:rsidRPr="00F84E67">
        <w:rPr>
          <w:vertAlign w:val="subscript"/>
        </w:rPr>
        <w:t>4</w:t>
      </w:r>
      <w:r w:rsidRPr="00F84E67">
        <w:t xml:space="preserve"> particles in the three samples.</w:t>
      </w:r>
    </w:p>
    <w:p w14:paraId="669FAC1A" w14:textId="77777777" w:rsidR="004547E7" w:rsidRPr="00F84E67" w:rsidRDefault="004547E7" w:rsidP="00827459">
      <w:pPr>
        <w:pStyle w:val="Text"/>
      </w:pPr>
      <w:r w:rsidRPr="00F84E67">
        <w:t>The stretching oscillations of the C=C bond appear at wave numbers of 1638 cm</w:t>
      </w:r>
      <w:r w:rsidRPr="00F84E67">
        <w:rPr>
          <w:vertAlign w:val="superscript"/>
        </w:rPr>
        <w:t>-1</w:t>
      </w:r>
      <w:r w:rsidRPr="00F84E67">
        <w:t xml:space="preserve"> for GO. The appearance of a new peak at wave number of 1460 cm</w:t>
      </w:r>
      <w:r w:rsidRPr="00F84E67">
        <w:rPr>
          <w:vertAlign w:val="superscript"/>
        </w:rPr>
        <w:t>-1</w:t>
      </w:r>
      <w:r w:rsidRPr="00F84E67">
        <w:t xml:space="preserve"> of FGP-1, FGP-3 and FGP-6 samples proved that the -CH</w:t>
      </w:r>
      <w:r w:rsidRPr="00F84E67">
        <w:rPr>
          <w:vertAlign w:val="subscript"/>
        </w:rPr>
        <w:t>2</w:t>
      </w:r>
      <w:r w:rsidRPr="00F84E67">
        <w:t xml:space="preserve"> group appeared. However, these absorption bands cannot confirm PVP. To confirm that this is the oscillation of the –CH</w:t>
      </w:r>
      <w:r w:rsidRPr="00F84E67">
        <w:rPr>
          <w:vertAlign w:val="subscript"/>
        </w:rPr>
        <w:t>2</w:t>
      </w:r>
      <w:r w:rsidRPr="00F84E67">
        <w:t xml:space="preserve"> group in PVP, another oscillation of the three samples above at wave number of 1034 cm</w:t>
      </w:r>
      <w:r w:rsidRPr="00F84E67">
        <w:rPr>
          <w:vertAlign w:val="superscript"/>
        </w:rPr>
        <w:t>-1</w:t>
      </w:r>
      <w:r w:rsidRPr="00F84E67">
        <w:t>, which is the oscillation of the C-N bond in the signal region (1200-1025 cm</w:t>
      </w:r>
      <w:r w:rsidRPr="00F84E67">
        <w:rPr>
          <w:vertAlign w:val="superscript"/>
        </w:rPr>
        <w:t>-1</w:t>
      </w:r>
      <w:r w:rsidRPr="00F84E67">
        <w:t>) (Ibrahim et al., 2013). This proves that there is an interaction between the GO and PVP. Along with that, there is a new peak at wave number of 1384 cm</w:t>
      </w:r>
      <w:r w:rsidRPr="00F84E67">
        <w:rPr>
          <w:vertAlign w:val="superscript"/>
        </w:rPr>
        <w:t>-1</w:t>
      </w:r>
      <w:r w:rsidRPr="00F84E67">
        <w:t xml:space="preserve"> in all three samples, which is also a sign of the appearance of -CH</w:t>
      </w:r>
      <w:r w:rsidRPr="00F84E67">
        <w:rPr>
          <w:vertAlign w:val="subscript"/>
        </w:rPr>
        <w:t>3</w:t>
      </w:r>
      <w:r w:rsidRPr="00F84E67">
        <w:t xml:space="preserve"> linkage in PVP (Yang et al., 2019). There was almost no difference in oscillation in three samples. Therefore, it is necessary to investigate more factors in the MB adsorption process.</w:t>
      </w:r>
    </w:p>
    <w:p w14:paraId="169A3C90" w14:textId="77777777" w:rsidR="004547E7" w:rsidRPr="00F84E67" w:rsidRDefault="004547E7" w:rsidP="00827459">
      <w:pPr>
        <w:pStyle w:val="Heading3"/>
      </w:pPr>
      <w:r w:rsidRPr="00F84E67">
        <w:t>Identification of specific surface area</w:t>
      </w:r>
    </w:p>
    <w:p w14:paraId="36120EFE" w14:textId="77777777" w:rsidR="00867A0D" w:rsidRDefault="004547E7" w:rsidP="00827459">
      <w:pPr>
        <w:pStyle w:val="Text"/>
      </w:pPr>
      <w:r w:rsidRPr="00F84E67">
        <w:t>The adsorption and desorption isotherms of GO at 77.3</w:t>
      </w:r>
      <w:r w:rsidRPr="00F84E67">
        <w:rPr>
          <w:vertAlign w:val="superscript"/>
        </w:rPr>
        <w:t>0</w:t>
      </w:r>
      <w:r w:rsidRPr="00F84E67">
        <w:t xml:space="preserve">K were </w:t>
      </w:r>
      <w:r w:rsidRPr="00827459">
        <w:t>identified</w:t>
      </w:r>
      <w:r w:rsidRPr="00F84E67">
        <w:t xml:space="preserve"> as </w:t>
      </w:r>
      <w:r w:rsidRPr="00F84E67">
        <w:rPr>
          <w:lang w:val="vi-VN"/>
        </w:rPr>
        <w:t>type</w:t>
      </w:r>
      <w:r w:rsidRPr="00F84E67">
        <w:t xml:space="preserve"> IV according to the IUPAC classification which is typical for layered materials as theoretical definitions. The surface area of GO was 99.1 m</w:t>
      </w:r>
      <w:r w:rsidRPr="00F84E67">
        <w:rPr>
          <w:vertAlign w:val="superscript"/>
        </w:rPr>
        <w:t>2</w:t>
      </w:r>
      <w:r w:rsidRPr="00F84E67">
        <w:t>.g</w:t>
      </w:r>
      <w:r w:rsidRPr="00F84E67">
        <w:rPr>
          <w:vertAlign w:val="superscript"/>
        </w:rPr>
        <w:t>-1</w:t>
      </w:r>
      <w:r w:rsidRPr="00F84E67">
        <w:t xml:space="preserve"> which was larger than that of FGP-3 (70.0 m</w:t>
      </w:r>
      <w:r w:rsidRPr="00F84E67">
        <w:rPr>
          <w:vertAlign w:val="superscript"/>
        </w:rPr>
        <w:t>2</w:t>
      </w:r>
      <w:r w:rsidRPr="00F84E67">
        <w:t>.g</w:t>
      </w:r>
      <w:r w:rsidRPr="00F84E67">
        <w:rPr>
          <w:vertAlign w:val="superscript"/>
        </w:rPr>
        <w:t>-1</w:t>
      </w:r>
      <w:r w:rsidRPr="00F84E67">
        <w:t>) and lower than that of El-Shafai’s study, 253.87 m</w:t>
      </w:r>
      <w:r w:rsidRPr="00F84E67">
        <w:rPr>
          <w:vertAlign w:val="superscript"/>
        </w:rPr>
        <w:t>2</w:t>
      </w:r>
      <w:r w:rsidRPr="00F84E67">
        <w:t>.g</w:t>
      </w:r>
      <w:r w:rsidRPr="00F84E67">
        <w:rPr>
          <w:vertAlign w:val="superscript"/>
        </w:rPr>
        <w:t>-1</w:t>
      </w:r>
      <w:r w:rsidRPr="00F84E67">
        <w:t xml:space="preserve"> (2020).</w:t>
      </w:r>
    </w:p>
    <w:p w14:paraId="6DD60654" w14:textId="7F789F9A" w:rsidR="00827459" w:rsidRPr="00827459" w:rsidRDefault="00827459" w:rsidP="00827459">
      <w:pPr>
        <w:pStyle w:val="TableTitle"/>
      </w:pPr>
      <w:r w:rsidRPr="00827459">
        <w:t xml:space="preserve">Table </w:t>
      </w:r>
      <w:fldSimple w:instr=" SEQ Bảng_ \* ARABIC ">
        <w:r w:rsidR="00541610">
          <w:rPr>
            <w:noProof/>
          </w:rPr>
          <w:t>1</w:t>
        </w:r>
      </w:fldSimple>
      <w:r w:rsidRPr="00827459">
        <w:t>.Structural characteristics of GO and FGP-3</w:t>
      </w:r>
    </w:p>
    <w:tbl>
      <w:tblPr>
        <w:tblW w:w="5000" w:type="pct"/>
        <w:jc w:val="center"/>
        <w:tblBorders>
          <w:top w:val="single" w:sz="18" w:space="0" w:color="auto"/>
          <w:bottom w:val="single" w:sz="18" w:space="0" w:color="auto"/>
        </w:tblBorders>
        <w:tblLook w:val="04A0" w:firstRow="1" w:lastRow="0" w:firstColumn="1" w:lastColumn="0" w:noHBand="0" w:noVBand="1"/>
      </w:tblPr>
      <w:tblGrid>
        <w:gridCol w:w="2696"/>
        <w:gridCol w:w="642"/>
        <w:gridCol w:w="800"/>
      </w:tblGrid>
      <w:tr w:rsidR="00827459" w:rsidRPr="00F84E67" w14:paraId="21B95D4B" w14:textId="77777777" w:rsidTr="00702190">
        <w:trPr>
          <w:trHeight w:val="34"/>
          <w:jc w:val="center"/>
        </w:trPr>
        <w:tc>
          <w:tcPr>
            <w:tcW w:w="3257" w:type="pct"/>
            <w:tcBorders>
              <w:top w:val="single" w:sz="8" w:space="0" w:color="auto"/>
              <w:left w:val="nil"/>
              <w:bottom w:val="single" w:sz="8" w:space="0" w:color="auto"/>
              <w:tl2br w:val="single" w:sz="4" w:space="0" w:color="auto"/>
            </w:tcBorders>
            <w:vAlign w:val="center"/>
          </w:tcPr>
          <w:p w14:paraId="46BDBF79" w14:textId="77777777" w:rsidR="00827459" w:rsidRPr="00F84E67" w:rsidRDefault="00827459" w:rsidP="00827459">
            <w:pPr>
              <w:jc w:val="right"/>
              <w:rPr>
                <w:rFonts w:cs="Times New Roman"/>
                <w:b/>
                <w:sz w:val="20"/>
                <w:szCs w:val="20"/>
              </w:rPr>
            </w:pPr>
            <w:r w:rsidRPr="00F84E67">
              <w:rPr>
                <w:rFonts w:cs="Times New Roman"/>
                <w:b/>
                <w:sz w:val="20"/>
                <w:szCs w:val="20"/>
              </w:rPr>
              <w:t>Adsorbents</w:t>
            </w:r>
          </w:p>
          <w:p w14:paraId="786761A4" w14:textId="77777777" w:rsidR="00827459" w:rsidRPr="00F84E67" w:rsidRDefault="00827459" w:rsidP="00827459">
            <w:pPr>
              <w:rPr>
                <w:rFonts w:cs="Times New Roman"/>
                <w:b/>
                <w:sz w:val="20"/>
                <w:szCs w:val="20"/>
              </w:rPr>
            </w:pPr>
            <w:r w:rsidRPr="00F84E67">
              <w:rPr>
                <w:rFonts w:cs="Times New Roman"/>
                <w:b/>
                <w:sz w:val="20"/>
                <w:szCs w:val="20"/>
              </w:rPr>
              <w:t>Parameters</w:t>
            </w:r>
          </w:p>
        </w:tc>
        <w:tc>
          <w:tcPr>
            <w:tcW w:w="776" w:type="pct"/>
            <w:tcBorders>
              <w:top w:val="single" w:sz="8" w:space="0" w:color="auto"/>
              <w:bottom w:val="single" w:sz="8" w:space="0" w:color="auto"/>
            </w:tcBorders>
            <w:vAlign w:val="center"/>
          </w:tcPr>
          <w:p w14:paraId="3119C4DE" w14:textId="77777777" w:rsidR="00827459" w:rsidRPr="00F84E67" w:rsidRDefault="00827459" w:rsidP="00827459">
            <w:pPr>
              <w:jc w:val="right"/>
              <w:rPr>
                <w:rFonts w:cs="Times New Roman"/>
                <w:b/>
                <w:sz w:val="20"/>
                <w:szCs w:val="20"/>
                <w:lang w:val="vi-VN"/>
              </w:rPr>
            </w:pPr>
            <w:r w:rsidRPr="00F84E67">
              <w:rPr>
                <w:rFonts w:cs="Times New Roman"/>
                <w:b/>
                <w:sz w:val="20"/>
                <w:szCs w:val="20"/>
              </w:rPr>
              <w:t>GO</w:t>
            </w:r>
          </w:p>
        </w:tc>
        <w:tc>
          <w:tcPr>
            <w:tcW w:w="968" w:type="pct"/>
            <w:tcBorders>
              <w:top w:val="single" w:sz="8" w:space="0" w:color="auto"/>
              <w:bottom w:val="single" w:sz="8" w:space="0" w:color="auto"/>
              <w:right w:val="nil"/>
            </w:tcBorders>
            <w:vAlign w:val="center"/>
          </w:tcPr>
          <w:p w14:paraId="44A24EE4" w14:textId="77777777" w:rsidR="00827459" w:rsidRPr="00F84E67" w:rsidRDefault="00827459" w:rsidP="00827459">
            <w:pPr>
              <w:jc w:val="right"/>
              <w:rPr>
                <w:rFonts w:cs="Times New Roman"/>
                <w:b/>
                <w:sz w:val="20"/>
                <w:szCs w:val="20"/>
              </w:rPr>
            </w:pPr>
            <w:r w:rsidRPr="00F84E67">
              <w:rPr>
                <w:rFonts w:cs="Times New Roman"/>
                <w:b/>
                <w:sz w:val="20"/>
                <w:szCs w:val="20"/>
              </w:rPr>
              <w:t>FGP-3</w:t>
            </w:r>
          </w:p>
        </w:tc>
      </w:tr>
      <w:tr w:rsidR="00827459" w:rsidRPr="00F84E67" w14:paraId="56FF9338" w14:textId="77777777" w:rsidTr="00702190">
        <w:trPr>
          <w:trHeight w:val="237"/>
          <w:jc w:val="center"/>
        </w:trPr>
        <w:tc>
          <w:tcPr>
            <w:tcW w:w="3257" w:type="pct"/>
            <w:tcBorders>
              <w:top w:val="single" w:sz="8" w:space="0" w:color="auto"/>
              <w:left w:val="nil"/>
              <w:bottom w:val="nil"/>
            </w:tcBorders>
            <w:vAlign w:val="center"/>
          </w:tcPr>
          <w:p w14:paraId="5F3CBF44" w14:textId="77777777" w:rsidR="00827459" w:rsidRPr="00F84E67" w:rsidRDefault="00827459" w:rsidP="00827459">
            <w:pPr>
              <w:rPr>
                <w:rFonts w:cs="Times New Roman"/>
                <w:sz w:val="20"/>
                <w:szCs w:val="20"/>
                <w:lang w:val="vi-VN"/>
              </w:rPr>
            </w:pPr>
            <w:r w:rsidRPr="00F84E67">
              <w:rPr>
                <w:rFonts w:cs="Times New Roman"/>
                <w:sz w:val="20"/>
                <w:szCs w:val="20"/>
                <w:lang w:val="vi-VN"/>
              </w:rPr>
              <w:t>Surface area (m</w:t>
            </w:r>
            <w:r w:rsidRPr="00F84E67">
              <w:rPr>
                <w:rFonts w:cs="Times New Roman"/>
                <w:sz w:val="20"/>
                <w:szCs w:val="20"/>
                <w:vertAlign w:val="superscript"/>
                <w:lang w:val="vi-VN"/>
              </w:rPr>
              <w:t>2</w:t>
            </w:r>
            <w:r w:rsidRPr="00F84E67">
              <w:rPr>
                <w:rFonts w:cs="Times New Roman"/>
                <w:sz w:val="20"/>
                <w:szCs w:val="20"/>
              </w:rPr>
              <w:t>.</w:t>
            </w:r>
            <w:r w:rsidRPr="00F84E67">
              <w:rPr>
                <w:rFonts w:cs="Times New Roman"/>
                <w:sz w:val="20"/>
                <w:szCs w:val="20"/>
                <w:lang w:val="vi-VN"/>
              </w:rPr>
              <w:t>g</w:t>
            </w:r>
            <w:r w:rsidRPr="00F84E67">
              <w:rPr>
                <w:rFonts w:cs="Times New Roman"/>
                <w:sz w:val="20"/>
                <w:szCs w:val="20"/>
                <w:vertAlign w:val="superscript"/>
              </w:rPr>
              <w:t>-1</w:t>
            </w:r>
            <w:r w:rsidRPr="00F84E67">
              <w:rPr>
                <w:rFonts w:cs="Times New Roman"/>
                <w:sz w:val="20"/>
                <w:szCs w:val="20"/>
                <w:lang w:val="vi-VN"/>
              </w:rPr>
              <w:t>)  S</w:t>
            </w:r>
            <w:r w:rsidRPr="00F84E67">
              <w:rPr>
                <w:rFonts w:cs="Times New Roman"/>
                <w:sz w:val="20"/>
                <w:szCs w:val="20"/>
                <w:vertAlign w:val="subscript"/>
                <w:lang w:val="vi-VN"/>
              </w:rPr>
              <w:t>BET</w:t>
            </w:r>
          </w:p>
        </w:tc>
        <w:tc>
          <w:tcPr>
            <w:tcW w:w="776" w:type="pct"/>
            <w:tcBorders>
              <w:top w:val="single" w:sz="8" w:space="0" w:color="auto"/>
              <w:bottom w:val="nil"/>
            </w:tcBorders>
          </w:tcPr>
          <w:p w14:paraId="3882764F" w14:textId="77777777" w:rsidR="00827459" w:rsidRPr="00F84E67" w:rsidRDefault="00827459" w:rsidP="00827459">
            <w:pPr>
              <w:jc w:val="right"/>
              <w:rPr>
                <w:rFonts w:cs="Times New Roman"/>
                <w:sz w:val="20"/>
                <w:szCs w:val="20"/>
              </w:rPr>
            </w:pPr>
            <w:r w:rsidRPr="00F84E67">
              <w:rPr>
                <w:rFonts w:cs="Times New Roman"/>
                <w:sz w:val="20"/>
                <w:szCs w:val="20"/>
              </w:rPr>
              <w:t>99.1</w:t>
            </w:r>
          </w:p>
        </w:tc>
        <w:tc>
          <w:tcPr>
            <w:tcW w:w="968" w:type="pct"/>
            <w:tcBorders>
              <w:top w:val="single" w:sz="8" w:space="0" w:color="auto"/>
              <w:bottom w:val="nil"/>
              <w:right w:val="nil"/>
            </w:tcBorders>
          </w:tcPr>
          <w:p w14:paraId="0001900B" w14:textId="77777777" w:rsidR="00827459" w:rsidRPr="00F84E67" w:rsidRDefault="00827459" w:rsidP="00827459">
            <w:pPr>
              <w:jc w:val="right"/>
              <w:rPr>
                <w:rFonts w:cs="Times New Roman"/>
                <w:sz w:val="20"/>
                <w:szCs w:val="20"/>
              </w:rPr>
            </w:pPr>
            <w:r w:rsidRPr="00F84E67">
              <w:rPr>
                <w:rFonts w:cs="Times New Roman"/>
                <w:sz w:val="20"/>
                <w:szCs w:val="20"/>
              </w:rPr>
              <w:t>70.0</w:t>
            </w:r>
          </w:p>
        </w:tc>
      </w:tr>
      <w:tr w:rsidR="00827459" w:rsidRPr="00F84E67" w14:paraId="482602AA" w14:textId="77777777" w:rsidTr="00702190">
        <w:trPr>
          <w:trHeight w:val="237"/>
          <w:jc w:val="center"/>
        </w:trPr>
        <w:tc>
          <w:tcPr>
            <w:tcW w:w="3257" w:type="pct"/>
            <w:tcBorders>
              <w:top w:val="nil"/>
              <w:left w:val="nil"/>
              <w:bottom w:val="single" w:sz="8" w:space="0" w:color="auto"/>
            </w:tcBorders>
            <w:vAlign w:val="center"/>
          </w:tcPr>
          <w:p w14:paraId="25BF9F0B" w14:textId="77777777" w:rsidR="00827459" w:rsidRPr="00F84E67" w:rsidRDefault="00827459" w:rsidP="00827459">
            <w:pPr>
              <w:rPr>
                <w:rFonts w:cs="Times New Roman"/>
                <w:sz w:val="20"/>
                <w:szCs w:val="20"/>
                <w:lang w:val="vi-VN"/>
              </w:rPr>
            </w:pPr>
            <w:r w:rsidRPr="00F84E67">
              <w:rPr>
                <w:rFonts w:cs="Times New Roman"/>
                <w:sz w:val="20"/>
                <w:szCs w:val="20"/>
              </w:rPr>
              <w:t xml:space="preserve">Capillary diameter </w:t>
            </w:r>
            <w:r w:rsidRPr="00F84E67">
              <w:rPr>
                <w:rFonts w:cs="Times New Roman"/>
                <w:sz w:val="20"/>
                <w:szCs w:val="20"/>
                <w:lang w:val="vi-VN"/>
              </w:rPr>
              <w:t>(nm) D</w:t>
            </w:r>
            <w:r w:rsidRPr="00F84E67">
              <w:rPr>
                <w:rFonts w:cs="Times New Roman"/>
                <w:sz w:val="20"/>
                <w:szCs w:val="20"/>
                <w:vertAlign w:val="subscript"/>
                <w:lang w:val="vi-VN"/>
              </w:rPr>
              <w:t>PORE</w:t>
            </w:r>
          </w:p>
        </w:tc>
        <w:tc>
          <w:tcPr>
            <w:tcW w:w="776" w:type="pct"/>
            <w:tcBorders>
              <w:top w:val="nil"/>
              <w:bottom w:val="single" w:sz="8" w:space="0" w:color="auto"/>
            </w:tcBorders>
          </w:tcPr>
          <w:p w14:paraId="43452636" w14:textId="77777777" w:rsidR="00827459" w:rsidRPr="00F84E67" w:rsidRDefault="00827459" w:rsidP="00827459">
            <w:pPr>
              <w:jc w:val="right"/>
              <w:rPr>
                <w:rFonts w:cs="Times New Roman"/>
                <w:sz w:val="20"/>
                <w:szCs w:val="20"/>
                <w:lang w:val="vi-VN"/>
              </w:rPr>
            </w:pPr>
            <w:r w:rsidRPr="00F84E67">
              <w:rPr>
                <w:rFonts w:cs="Times New Roman"/>
                <w:sz w:val="20"/>
                <w:szCs w:val="20"/>
                <w:lang w:val="vi-VN"/>
              </w:rPr>
              <w:t>2</w:t>
            </w:r>
            <w:r w:rsidRPr="00F84E67">
              <w:rPr>
                <w:rFonts w:cs="Times New Roman"/>
                <w:sz w:val="20"/>
                <w:szCs w:val="20"/>
              </w:rPr>
              <w:t>.</w:t>
            </w:r>
            <w:r w:rsidRPr="00F84E67">
              <w:rPr>
                <w:rFonts w:cs="Times New Roman"/>
                <w:sz w:val="20"/>
                <w:szCs w:val="20"/>
                <w:lang w:val="vi-VN"/>
              </w:rPr>
              <w:t>33</w:t>
            </w:r>
          </w:p>
        </w:tc>
        <w:tc>
          <w:tcPr>
            <w:tcW w:w="968" w:type="pct"/>
            <w:tcBorders>
              <w:top w:val="nil"/>
              <w:bottom w:val="single" w:sz="8" w:space="0" w:color="auto"/>
              <w:right w:val="nil"/>
            </w:tcBorders>
          </w:tcPr>
          <w:p w14:paraId="4ED7CED1" w14:textId="77777777" w:rsidR="00827459" w:rsidRPr="00F84E67" w:rsidRDefault="00827459" w:rsidP="00827459">
            <w:pPr>
              <w:jc w:val="right"/>
              <w:rPr>
                <w:rFonts w:cs="Times New Roman"/>
                <w:sz w:val="20"/>
                <w:szCs w:val="20"/>
              </w:rPr>
            </w:pPr>
            <w:r w:rsidRPr="00F84E67">
              <w:rPr>
                <w:rFonts w:cs="Times New Roman"/>
                <w:sz w:val="20"/>
                <w:szCs w:val="20"/>
              </w:rPr>
              <w:t>1.20</w:t>
            </w:r>
          </w:p>
        </w:tc>
      </w:tr>
    </w:tbl>
    <w:p w14:paraId="75410C52" w14:textId="77777777" w:rsidR="00827459" w:rsidRPr="00F84E67" w:rsidRDefault="00827459" w:rsidP="00827459">
      <w:pPr>
        <w:pStyle w:val="Heading3"/>
      </w:pPr>
      <w:r w:rsidRPr="00F84E67">
        <w:t>Morphology investigation with FESEM</w:t>
      </w:r>
    </w:p>
    <w:p w14:paraId="5B829A73" w14:textId="77777777" w:rsidR="00827459" w:rsidRDefault="00827459" w:rsidP="00827459">
      <w:pPr>
        <w:pStyle w:val="Text"/>
      </w:pPr>
      <w:r w:rsidRPr="00F84E67">
        <w:t>Morphology of GO with FESEM is shown in Figure 4, highlighting GO with clear separated layers.</w:t>
      </w:r>
    </w:p>
    <w:p w14:paraId="503D69D7" w14:textId="77777777" w:rsidR="003C4AC3" w:rsidRDefault="003C4AC3" w:rsidP="003D0EE0">
      <w:pPr>
        <w:jc w:val="center"/>
        <w:rPr>
          <w:sz w:val="20"/>
          <w:lang w:val="de-DE"/>
        </w:rPr>
        <w:sectPr w:rsidR="003C4AC3" w:rsidSect="000E0E50">
          <w:type w:val="continuous"/>
          <w:pgSz w:w="10773" w:h="15309" w:code="150"/>
          <w:pgMar w:top="1418" w:right="1021" w:bottom="1418" w:left="1021" w:header="851" w:footer="851" w:gutter="0"/>
          <w:cols w:num="2" w:space="454"/>
          <w:docGrid w:linePitch="360"/>
        </w:sectPr>
      </w:pPr>
    </w:p>
    <w:tbl>
      <w:tblPr>
        <w:tblStyle w:val="TableGrid"/>
        <w:tblW w:w="0" w:type="auto"/>
        <w:jc w:val="center"/>
        <w:tblBorders>
          <w:top w:val="none" w:sz="0" w:space="0" w:color="auto"/>
          <w:bottom w:val="none" w:sz="0" w:space="0" w:color="auto"/>
          <w:insideH w:val="none" w:sz="0" w:space="0" w:color="auto"/>
        </w:tblBorders>
        <w:tblLook w:val="04A0" w:firstRow="1" w:lastRow="0" w:firstColumn="1" w:lastColumn="0" w:noHBand="0" w:noVBand="1"/>
      </w:tblPr>
      <w:tblGrid>
        <w:gridCol w:w="8505"/>
      </w:tblGrid>
      <w:tr w:rsidR="00827459" w:rsidRPr="00F84E67" w14:paraId="5C211439" w14:textId="77777777" w:rsidTr="003C4AC3">
        <w:trPr>
          <w:jc w:val="center"/>
        </w:trPr>
        <w:tc>
          <w:tcPr>
            <w:tcW w:w="8505" w:type="dxa"/>
          </w:tcPr>
          <w:p w14:paraId="3C6C26F0" w14:textId="70CE30F1" w:rsidR="00827459" w:rsidRPr="00F84E67" w:rsidRDefault="00827459" w:rsidP="003D0EE0">
            <w:pPr>
              <w:jc w:val="center"/>
              <w:rPr>
                <w:sz w:val="20"/>
                <w:lang w:val="de-DE"/>
              </w:rPr>
            </w:pPr>
            <w:r w:rsidRPr="00F84E67">
              <w:rPr>
                <w:noProof/>
                <w:sz w:val="20"/>
              </w:rPr>
              <w:lastRenderedPageBreak/>
              <w:drawing>
                <wp:inline distT="0" distB="0" distL="0" distR="0" wp14:anchorId="1E67F818" wp14:editId="12C06B5E">
                  <wp:extent cx="2145072" cy="1577340"/>
                  <wp:effectExtent l="0" t="0" r="7620" b="3810"/>
                  <wp:docPr id="2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9"/>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46017" cy="1578035"/>
                          </a:xfrm>
                          <a:prstGeom prst="rect">
                            <a:avLst/>
                          </a:prstGeom>
                        </pic:spPr>
                      </pic:pic>
                    </a:graphicData>
                  </a:graphic>
                </wp:inline>
              </w:drawing>
            </w:r>
            <w:r w:rsidR="003C4AC3" w:rsidRPr="00F84E67">
              <w:rPr>
                <w:noProof/>
                <w:sz w:val="20"/>
              </w:rPr>
              <w:drawing>
                <wp:inline distT="0" distB="0" distL="0" distR="0" wp14:anchorId="31388F67" wp14:editId="61E23403">
                  <wp:extent cx="2167075" cy="1585061"/>
                  <wp:effectExtent l="0" t="0" r="5080" b="0"/>
                  <wp:docPr id="7"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87967" cy="1600342"/>
                          </a:xfrm>
                          <a:prstGeom prst="rect">
                            <a:avLst/>
                          </a:prstGeom>
                        </pic:spPr>
                      </pic:pic>
                    </a:graphicData>
                  </a:graphic>
                </wp:inline>
              </w:drawing>
            </w:r>
          </w:p>
          <w:p w14:paraId="1C1E9404" w14:textId="0525F9A4" w:rsidR="00827459" w:rsidRPr="00F84E67" w:rsidRDefault="00827459" w:rsidP="003D0EE0">
            <w:pPr>
              <w:jc w:val="center"/>
              <w:rPr>
                <w:sz w:val="20"/>
                <w:lang w:val="de-DE"/>
              </w:rPr>
            </w:pPr>
            <w:r w:rsidRPr="00F84E67">
              <w:rPr>
                <w:sz w:val="20"/>
                <w:lang w:val="de-DE"/>
              </w:rPr>
              <w:t>(a)</w:t>
            </w:r>
            <w:r w:rsidR="003C4AC3" w:rsidRPr="00F84E67">
              <w:rPr>
                <w:noProof/>
                <w:sz w:val="20"/>
              </w:rPr>
              <w:t xml:space="preserve"> </w:t>
            </w:r>
            <w:r w:rsidR="003C4AC3">
              <w:rPr>
                <w:noProof/>
                <w:sz w:val="20"/>
              </w:rPr>
              <w:t xml:space="preserve">                                                   </w:t>
            </w:r>
            <w:r w:rsidR="003C4AC3" w:rsidRPr="00F84E67">
              <w:rPr>
                <w:noProof/>
                <w:sz w:val="20"/>
              </w:rPr>
              <w:t>(b)</w:t>
            </w:r>
          </w:p>
        </w:tc>
      </w:tr>
    </w:tbl>
    <w:p w14:paraId="4005531D" w14:textId="77777777" w:rsidR="00827459" w:rsidRDefault="00827459" w:rsidP="00827459">
      <w:pPr>
        <w:pStyle w:val="FigureTitlte"/>
      </w:pPr>
      <w:r w:rsidRPr="00F84E67">
        <w:t>Figure 4. FE-SEM images of GO with magnification of (a) 5.00 µm and (b) 500 nm</w:t>
      </w:r>
    </w:p>
    <w:p w14:paraId="5F123F1C" w14:textId="77777777" w:rsidR="003C4AC3" w:rsidRDefault="003C4AC3" w:rsidP="00827459">
      <w:pPr>
        <w:pStyle w:val="Text"/>
        <w:sectPr w:rsidR="003C4AC3" w:rsidSect="003C4AC3">
          <w:type w:val="continuous"/>
          <w:pgSz w:w="10773" w:h="15309" w:code="150"/>
          <w:pgMar w:top="1418" w:right="1021" w:bottom="1418" w:left="1021" w:header="851" w:footer="851" w:gutter="0"/>
          <w:cols w:space="454"/>
          <w:docGrid w:linePitch="360"/>
        </w:sectPr>
      </w:pPr>
    </w:p>
    <w:p w14:paraId="2752667D" w14:textId="77777777" w:rsidR="00827459" w:rsidRDefault="00827459" w:rsidP="00827459">
      <w:pPr>
        <w:pStyle w:val="Text"/>
      </w:pPr>
      <w:r w:rsidRPr="00F84E67">
        <w:t>Figure 5 illustrates that the mixture contains both GO and Fe</w:t>
      </w:r>
      <w:r w:rsidRPr="00F84E67">
        <w:rPr>
          <w:vertAlign w:val="subscript"/>
        </w:rPr>
        <w:t>3</w:t>
      </w:r>
      <w:r w:rsidRPr="00F84E67">
        <w:t>O</w:t>
      </w:r>
      <w:r w:rsidRPr="00F84E67">
        <w:rPr>
          <w:vertAlign w:val="subscript"/>
        </w:rPr>
        <w:t>4</w:t>
      </w:r>
      <w:r w:rsidRPr="00F84E67">
        <w:t xml:space="preserve"> which are spherical. However, the ferromagnetic particles agglomerate on the GO substrate causing it to be unevenly dense. However, it can be clearly seen that the matrix overall </w:t>
      </w:r>
      <w:r w:rsidRPr="00827459">
        <w:t>clearly</w:t>
      </w:r>
      <w:r w:rsidRPr="00F84E67">
        <w:t xml:space="preserve"> consists of the background (GO) and the filler (Fe</w:t>
      </w:r>
      <w:r w:rsidRPr="00F84E67">
        <w:rPr>
          <w:vertAlign w:val="subscript"/>
        </w:rPr>
        <w:t>3</w:t>
      </w:r>
      <w:r w:rsidRPr="00F84E67">
        <w:t>O</w:t>
      </w:r>
      <w:r w:rsidRPr="00F84E67">
        <w:rPr>
          <w:vertAlign w:val="subscript"/>
        </w:rPr>
        <w:t>4</w:t>
      </w:r>
      <w:r w:rsidRPr="00F84E67">
        <w:t>) and Fe</w:t>
      </w:r>
      <w:r w:rsidRPr="00F84E67">
        <w:rPr>
          <w:vertAlign w:val="subscript"/>
        </w:rPr>
        <w:t>3</w:t>
      </w:r>
      <w:r w:rsidRPr="00F84E67">
        <w:t>O</w:t>
      </w:r>
      <w:r w:rsidRPr="00F84E67">
        <w:rPr>
          <w:vertAlign w:val="subscript"/>
        </w:rPr>
        <w:t>4</w:t>
      </w:r>
      <w:r w:rsidRPr="00F84E67">
        <w:t xml:space="preserve"> microspheres are anchored on GO, which could effectively prevent the </w:t>
      </w:r>
      <w:r w:rsidRPr="00F84E67">
        <w:t>agglomeration of GO substrate. This result is consistent with the synthesis process of Fe</w:t>
      </w:r>
      <w:r w:rsidRPr="00F84E67">
        <w:rPr>
          <w:vertAlign w:val="subscript"/>
        </w:rPr>
        <w:t>3</w:t>
      </w:r>
      <w:r w:rsidRPr="00F84E67">
        <w:t>O</w:t>
      </w:r>
      <w:r w:rsidRPr="00F84E67">
        <w:rPr>
          <w:vertAlign w:val="subscript"/>
        </w:rPr>
        <w:t>4</w:t>
      </w:r>
      <w:r w:rsidRPr="00F84E67">
        <w:t>/GO by co-precipitating method (Qin et al., 2015; Pham et al., 2016). The size distribution chart of the obtained Fe</w:t>
      </w:r>
      <w:r w:rsidRPr="00F84E67">
        <w:rPr>
          <w:vertAlign w:val="subscript"/>
        </w:rPr>
        <w:t>3</w:t>
      </w:r>
      <w:r w:rsidRPr="00F84E67">
        <w:t>O</w:t>
      </w:r>
      <w:r w:rsidRPr="00F84E67">
        <w:rPr>
          <w:vertAlign w:val="subscript"/>
        </w:rPr>
        <w:t>4</w:t>
      </w:r>
      <w:r w:rsidRPr="00F84E67">
        <w:t xml:space="preserve"> magnetite particles shows their average size in the range of 14-16 nm with a relatively narrow distribution. This result is almost like the result of Pham (2016).</w:t>
      </w:r>
    </w:p>
    <w:p w14:paraId="7AE3A27A" w14:textId="77777777" w:rsidR="003C4AC3" w:rsidRDefault="003C4AC3" w:rsidP="00DD3810">
      <w:pPr>
        <w:pStyle w:val="Text"/>
        <w:jc w:val="center"/>
        <w:sectPr w:rsidR="003C4AC3" w:rsidSect="000E0E50">
          <w:type w:val="continuous"/>
          <w:pgSz w:w="10773" w:h="15309" w:code="150"/>
          <w:pgMar w:top="1418" w:right="1021" w:bottom="1418" w:left="1021" w:header="851" w:footer="851" w:gutter="0"/>
          <w:cols w:num="2" w:space="454"/>
          <w:docGrid w:linePitch="360"/>
        </w:sectPr>
      </w:pPr>
    </w:p>
    <w:p w14:paraId="1F3292EB" w14:textId="061C7D55" w:rsidR="00DD3810" w:rsidRDefault="00DD3810" w:rsidP="00DD3810">
      <w:pPr>
        <w:pStyle w:val="Text"/>
        <w:jc w:val="center"/>
      </w:pPr>
      <w:r w:rsidRPr="00F84E67">
        <w:rPr>
          <w:rFonts w:eastAsiaTheme="minorEastAsia"/>
          <w:noProof/>
        </w:rPr>
        <w:drawing>
          <wp:inline distT="0" distB="0" distL="0" distR="0" wp14:anchorId="36C23481" wp14:editId="53650E35">
            <wp:extent cx="2028228" cy="15902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m02.ti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67397" cy="1620972"/>
                    </a:xfrm>
                    <a:prstGeom prst="rect">
                      <a:avLst/>
                    </a:prstGeom>
                  </pic:spPr>
                </pic:pic>
              </a:graphicData>
            </a:graphic>
          </wp:inline>
        </w:drawing>
      </w:r>
      <w:r w:rsidR="00722B12">
        <w:t xml:space="preserve"> </w:t>
      </w:r>
      <w:r w:rsidR="003C4AC3" w:rsidRPr="00F84E67">
        <w:rPr>
          <w:rFonts w:eastAsiaTheme="minorEastAsia"/>
          <w:noProof/>
        </w:rPr>
        <w:drawing>
          <wp:inline distT="0" distB="0" distL="0" distR="0" wp14:anchorId="40ABC81A" wp14:editId="49A3B43C">
            <wp:extent cx="2013585" cy="1582253"/>
            <wp:effectExtent l="0" t="0" r="5715" b="0"/>
            <wp:docPr id="81" name="Picture 81" descr="A close-up of a grey and white clou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A close-up of a grey and white cloud&#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28997" cy="1594364"/>
                    </a:xfrm>
                    <a:prstGeom prst="rect">
                      <a:avLst/>
                    </a:prstGeom>
                  </pic:spPr>
                </pic:pic>
              </a:graphicData>
            </a:graphic>
          </wp:inline>
        </w:drawing>
      </w:r>
      <w:r w:rsidR="003C4AC3" w:rsidRPr="00F84E67">
        <w:rPr>
          <w:rFonts w:eastAsiaTheme="minorEastAsia"/>
          <w:noProof/>
        </w:rPr>
        <w:drawing>
          <wp:inline distT="0" distB="0" distL="0" distR="0" wp14:anchorId="3319C0ED" wp14:editId="313E6E1E">
            <wp:extent cx="2035175" cy="1510748"/>
            <wp:effectExtent l="0" t="0" r="3175" b="0"/>
            <wp:docPr id="85" name="Picture 85" descr="A graph with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A graph with red lines&#10;&#10;Description automatically generated"/>
                    <pic:cNvPicPr/>
                  </pic:nvPicPr>
                  <pic:blipFill rotWithShape="1">
                    <a:blip r:embed="rId20" cstate="print">
                      <a:extLst>
                        <a:ext uri="{28A0092B-C50C-407E-A947-70E740481C1C}">
                          <a14:useLocalDpi xmlns:a14="http://schemas.microsoft.com/office/drawing/2010/main" val="0"/>
                        </a:ext>
                      </a:extLst>
                    </a:blip>
                    <a:srcRect l="10099" t="10714" r="5959" b="4282"/>
                    <a:stretch/>
                  </pic:blipFill>
                  <pic:spPr bwMode="auto">
                    <a:xfrm>
                      <a:off x="0" y="0"/>
                      <a:ext cx="2035175" cy="1510748"/>
                    </a:xfrm>
                    <a:prstGeom prst="rect">
                      <a:avLst/>
                    </a:prstGeom>
                    <a:ln>
                      <a:noFill/>
                    </a:ln>
                    <a:extLst>
                      <a:ext uri="{53640926-AAD7-44D8-BBD7-CCE9431645EC}">
                        <a14:shadowObscured xmlns:a14="http://schemas.microsoft.com/office/drawing/2010/main"/>
                      </a:ext>
                    </a:extLst>
                  </pic:spPr>
                </pic:pic>
              </a:graphicData>
            </a:graphic>
          </wp:inline>
        </w:drawing>
      </w:r>
    </w:p>
    <w:p w14:paraId="6BD1878A" w14:textId="77777777" w:rsidR="00827459" w:rsidRDefault="00827459" w:rsidP="00827459">
      <w:pPr>
        <w:pStyle w:val="FigureTitlte"/>
      </w:pPr>
      <w:bookmarkStart w:id="0" w:name="_Toc91072076"/>
      <w:r w:rsidRPr="00F84E67">
        <w:t xml:space="preserve">Figure 5. </w:t>
      </w:r>
      <w:bookmarkEnd w:id="0"/>
      <w:r w:rsidRPr="00F84E67">
        <w:t>FE-SEM images with magnification of (a) 1.00 µm, (b) 500 nm and (c) particle size distribution of FGP-3</w:t>
      </w:r>
    </w:p>
    <w:p w14:paraId="09DD1E68" w14:textId="77777777" w:rsidR="003C4AC3" w:rsidRDefault="003C4AC3" w:rsidP="006C0C9F">
      <w:pPr>
        <w:pStyle w:val="Heading2"/>
        <w:rPr>
          <w:lang w:val="en-GB"/>
        </w:rPr>
        <w:sectPr w:rsidR="003C4AC3" w:rsidSect="003C4AC3">
          <w:type w:val="continuous"/>
          <w:pgSz w:w="10773" w:h="15309" w:code="150"/>
          <w:pgMar w:top="1418" w:right="1021" w:bottom="1418" w:left="1021" w:header="851" w:footer="851" w:gutter="0"/>
          <w:cols w:space="454"/>
          <w:docGrid w:linePitch="360"/>
        </w:sectPr>
      </w:pPr>
    </w:p>
    <w:p w14:paraId="6049A806" w14:textId="77777777" w:rsidR="006C0C9F" w:rsidRPr="00F84E67" w:rsidRDefault="006C0C9F" w:rsidP="006C0C9F">
      <w:pPr>
        <w:pStyle w:val="Heading2"/>
        <w:rPr>
          <w:lang w:val="en-GB"/>
        </w:rPr>
      </w:pPr>
      <w:r w:rsidRPr="00F84E67">
        <w:rPr>
          <w:lang w:val="en-GB"/>
        </w:rPr>
        <w:lastRenderedPageBreak/>
        <w:t>Removal of methylene blue using Fe</w:t>
      </w:r>
      <w:r w:rsidRPr="00F84E67">
        <w:rPr>
          <w:vertAlign w:val="subscript"/>
          <w:lang w:val="en-GB"/>
        </w:rPr>
        <w:t>3</w:t>
      </w:r>
      <w:r w:rsidRPr="00F84E67">
        <w:rPr>
          <w:lang w:val="en-GB"/>
        </w:rPr>
        <w:t>O</w:t>
      </w:r>
      <w:r w:rsidRPr="00F84E67">
        <w:rPr>
          <w:vertAlign w:val="subscript"/>
          <w:lang w:val="en-GB"/>
        </w:rPr>
        <w:t>4</w:t>
      </w:r>
      <w:r w:rsidRPr="00F84E67">
        <w:rPr>
          <w:lang w:val="en-GB"/>
        </w:rPr>
        <w:t>/GO/PVP</w:t>
      </w:r>
    </w:p>
    <w:p w14:paraId="04BFE7CB" w14:textId="77777777" w:rsidR="006C0C9F" w:rsidRPr="00F84E67" w:rsidRDefault="006C0C9F" w:rsidP="006C0C9F">
      <w:pPr>
        <w:pStyle w:val="Heading3"/>
        <w:rPr>
          <w:lang w:val="en-GB"/>
        </w:rPr>
      </w:pPr>
      <w:r w:rsidRPr="006C0C9F">
        <w:t>MB</w:t>
      </w:r>
      <w:r w:rsidRPr="00F84E67">
        <w:rPr>
          <w:lang w:val="en-GB"/>
        </w:rPr>
        <w:t xml:space="preserve"> adsorption capacity of three adsorbent types</w:t>
      </w:r>
    </w:p>
    <w:tbl>
      <w:tblPr>
        <w:tblStyle w:val="TableGrid"/>
        <w:tblW w:w="0" w:type="auto"/>
        <w:tblInd w:w="279" w:type="dxa"/>
        <w:tblBorders>
          <w:top w:val="none" w:sz="0" w:space="0" w:color="auto"/>
          <w:bottom w:val="none" w:sz="0" w:space="0" w:color="auto"/>
          <w:insideH w:val="none" w:sz="0" w:space="0" w:color="auto"/>
        </w:tblBorders>
        <w:tblLook w:val="04A0" w:firstRow="1" w:lastRow="0" w:firstColumn="1" w:lastColumn="0" w:noHBand="0" w:noVBand="1"/>
      </w:tblPr>
      <w:tblGrid>
        <w:gridCol w:w="3849"/>
      </w:tblGrid>
      <w:tr w:rsidR="006C0C9F" w:rsidRPr="00F84E67" w14:paraId="206EAB71" w14:textId="77777777" w:rsidTr="003D0EE0">
        <w:tc>
          <w:tcPr>
            <w:tcW w:w="3849" w:type="dxa"/>
          </w:tcPr>
          <w:p w14:paraId="512C02A7" w14:textId="77777777" w:rsidR="006C0C9F" w:rsidRPr="00F84E67" w:rsidRDefault="006C0C9F" w:rsidP="006C0C9F">
            <w:pPr>
              <w:ind w:hanging="422"/>
              <w:jc w:val="center"/>
              <w:rPr>
                <w:lang w:val="de-DE"/>
              </w:rPr>
            </w:pPr>
            <w:r w:rsidRPr="00F84E67">
              <w:rPr>
                <w:noProof/>
                <w:sz w:val="20"/>
              </w:rPr>
              <w:drawing>
                <wp:inline distT="0" distB="0" distL="0" distR="0" wp14:anchorId="3E0AC743" wp14:editId="16E39E54">
                  <wp:extent cx="2479539" cy="1559529"/>
                  <wp:effectExtent l="0" t="0" r="0" b="3175"/>
                  <wp:docPr id="20" name="Chart 2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14:paraId="50B3E1AC" w14:textId="77777777" w:rsidR="006C0C9F" w:rsidRDefault="006C0C9F" w:rsidP="006C0C9F">
      <w:pPr>
        <w:pStyle w:val="FigureTitlte"/>
        <w:rPr>
          <w:szCs w:val="20"/>
        </w:rPr>
      </w:pPr>
      <w:bookmarkStart w:id="1" w:name="_Toc91072079"/>
      <w:r w:rsidRPr="00F84E67">
        <w:t xml:space="preserve">Figure 6. </w:t>
      </w:r>
      <w:bookmarkEnd w:id="1"/>
      <w:r w:rsidRPr="00F84E67">
        <w:t>MB adsorption capacity of three adsorbent types</w:t>
      </w:r>
    </w:p>
    <w:p w14:paraId="1FE5523C" w14:textId="77777777" w:rsidR="006C0C9F" w:rsidRPr="00F84E67" w:rsidRDefault="006C0C9F" w:rsidP="006C0C9F">
      <w:pPr>
        <w:pStyle w:val="Text"/>
      </w:pPr>
      <w:r w:rsidRPr="00F84E67">
        <w:t>Figure 6 show</w:t>
      </w:r>
      <w:r w:rsidRPr="00F84E67">
        <w:rPr>
          <w:lang w:val="vi-VN"/>
        </w:rPr>
        <w:t>ed</w:t>
      </w:r>
      <w:r w:rsidRPr="00F84E67">
        <w:t xml:space="preserve"> the adsorption capacity of three </w:t>
      </w:r>
      <w:r w:rsidRPr="00F84E67">
        <w:rPr>
          <w:lang w:val="vi-VN"/>
        </w:rPr>
        <w:t xml:space="preserve">adsorbents, namely </w:t>
      </w:r>
      <w:r w:rsidRPr="00F84E67">
        <w:t>FGP-</w:t>
      </w:r>
      <w:r w:rsidRPr="00F84E67">
        <w:rPr>
          <w:lang w:val="vi-VN"/>
        </w:rPr>
        <w:t>1,</w:t>
      </w:r>
      <w:r w:rsidRPr="00F84E67">
        <w:t xml:space="preserve"> FGP-3 </w:t>
      </w:r>
      <w:r w:rsidRPr="00F84E67">
        <w:rPr>
          <w:lang w:val="vi-VN"/>
        </w:rPr>
        <w:t>and</w:t>
      </w:r>
      <w:r w:rsidRPr="00F84E67">
        <w:t xml:space="preserve"> FGP-6. The results show that the adsorption capacity of the FGP-3 and FGP-6 </w:t>
      </w:r>
      <w:r w:rsidRPr="00F84E67">
        <w:rPr>
          <w:lang w:val="vi-VN"/>
        </w:rPr>
        <w:t>were</w:t>
      </w:r>
      <w:r w:rsidRPr="00F84E67">
        <w:t xml:space="preserve"> similar</w:t>
      </w:r>
      <w:r w:rsidRPr="00F84E67">
        <w:rPr>
          <w:lang w:val="vi-VN"/>
        </w:rPr>
        <w:t xml:space="preserve"> </w:t>
      </w:r>
      <w:r w:rsidRPr="00F84E67">
        <w:t>with the</w:t>
      </w:r>
      <w:r w:rsidRPr="00F84E67">
        <w:rPr>
          <w:lang w:val="vi-VN"/>
        </w:rPr>
        <w:t xml:space="preserve"> adsorption</w:t>
      </w:r>
      <w:r w:rsidRPr="00F84E67">
        <w:t xml:space="preserve"> efficiency of 23.5% and 21.8%, respectively. </w:t>
      </w:r>
      <w:r w:rsidRPr="00F84E67">
        <w:rPr>
          <w:lang w:val="vi-VN"/>
        </w:rPr>
        <w:t>F</w:t>
      </w:r>
      <w:r w:rsidRPr="00F84E67">
        <w:t>or the FGP-1, the recovery efficiency is low, reaching 15.7%. Thus, we selected materials FGP-3 and FGP-6 to conduct the next experiments.</w:t>
      </w:r>
    </w:p>
    <w:p w14:paraId="3B909DF7" w14:textId="77777777" w:rsidR="006C0C9F" w:rsidRPr="00F84E67" w:rsidRDefault="006C0C9F" w:rsidP="006C0C9F">
      <w:pPr>
        <w:pStyle w:val="Heading3"/>
      </w:pPr>
      <w:r w:rsidRPr="006C0C9F">
        <w:t>Effect</w:t>
      </w:r>
      <w:r w:rsidRPr="00F84E67">
        <w:t xml:space="preserve"> of pH </w:t>
      </w:r>
    </w:p>
    <w:p w14:paraId="3608E239" w14:textId="77777777" w:rsidR="006C0C9F" w:rsidRPr="00F84E67" w:rsidRDefault="006C0C9F" w:rsidP="006C0C9F">
      <w:pPr>
        <w:pStyle w:val="Text"/>
      </w:pPr>
      <w:r w:rsidRPr="00F84E67">
        <w:t>pH is one of the crucial factors that have the greatest influence on the adsorption capacity of adsorbents in wastewater treatment. The adsorption efficiency depends on the pH of the solution because pH affects not only on the surface charge of the adsorbent but also ionization because of the reacting dye molecule.</w:t>
      </w: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4128"/>
      </w:tblGrid>
      <w:tr w:rsidR="006C0C9F" w:rsidRPr="00F84E67" w14:paraId="3A0561D9" w14:textId="77777777" w:rsidTr="003D0EE0">
        <w:tc>
          <w:tcPr>
            <w:tcW w:w="4128" w:type="dxa"/>
          </w:tcPr>
          <w:p w14:paraId="0DDB8837" w14:textId="77777777" w:rsidR="006C0C9F" w:rsidRPr="00F84E67" w:rsidRDefault="006C0C9F" w:rsidP="003D0EE0">
            <w:pPr>
              <w:jc w:val="center"/>
            </w:pPr>
            <w:r w:rsidRPr="00F84E67">
              <w:rPr>
                <w:noProof/>
              </w:rPr>
              <w:drawing>
                <wp:inline distT="0" distB="0" distL="0" distR="0" wp14:anchorId="7BC63314" wp14:editId="7DA28830">
                  <wp:extent cx="2135290" cy="156513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98328" cy="1611345"/>
                          </a:xfrm>
                          <a:prstGeom prst="rect">
                            <a:avLst/>
                          </a:prstGeom>
                          <a:noFill/>
                        </pic:spPr>
                      </pic:pic>
                    </a:graphicData>
                  </a:graphic>
                </wp:inline>
              </w:drawing>
            </w:r>
          </w:p>
        </w:tc>
      </w:tr>
    </w:tbl>
    <w:p w14:paraId="7B87A0B0" w14:textId="77777777" w:rsidR="006C0C9F" w:rsidRDefault="006C0C9F" w:rsidP="006C0C9F">
      <w:pPr>
        <w:pStyle w:val="FigureTitlte"/>
        <w:rPr>
          <w:szCs w:val="20"/>
        </w:rPr>
      </w:pPr>
      <w:r>
        <w:t xml:space="preserve">Figure 7. Identifying </w:t>
      </w:r>
      <w:r w:rsidRPr="00F84E67">
        <w:t>pHpzc</w:t>
      </w:r>
    </w:p>
    <w:p w14:paraId="1D2C7E7E" w14:textId="77777777" w:rsidR="006C0C9F" w:rsidRPr="00F84E67" w:rsidRDefault="006C0C9F" w:rsidP="006C0C9F">
      <w:pPr>
        <w:pStyle w:val="Text"/>
        <w:rPr>
          <w:lang w:val="vi-VN"/>
        </w:rPr>
      </w:pPr>
      <w:r w:rsidRPr="00F84E67">
        <w:t>Figure 7 shows the surface charge of the two adsorbents types: FGP-3 and FGP-6. The pH</w:t>
      </w:r>
      <w:r w:rsidRPr="00F84E67">
        <w:rPr>
          <w:vertAlign w:val="subscript"/>
        </w:rPr>
        <w:t>pzc</w:t>
      </w:r>
      <w:r w:rsidRPr="00F84E67">
        <w:t xml:space="preserve"> of the FGP-3 and FGP-6 were 5.6 and 5.5, respectively. From that,</w:t>
      </w:r>
      <w:r w:rsidRPr="00F84E67">
        <w:rPr>
          <w:lang w:val="vi-VN"/>
        </w:rPr>
        <w:t xml:space="preserve"> </w:t>
      </w:r>
      <w:r w:rsidRPr="00F84E67">
        <w:t>it is predicted that these</w:t>
      </w:r>
      <w:r w:rsidRPr="00F84E67">
        <w:rPr>
          <w:lang w:val="vi-VN"/>
        </w:rPr>
        <w:t xml:space="preserve"> </w:t>
      </w:r>
      <w:r w:rsidRPr="00F84E67">
        <w:t>materials will absorb MB well in the base pH range</w:t>
      </w:r>
      <w:r w:rsidRPr="00F84E67">
        <w:rPr>
          <w:lang w:val="vi-VN"/>
        </w:rPr>
        <w:t>.</w:t>
      </w: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4138"/>
      </w:tblGrid>
      <w:tr w:rsidR="006C0C9F" w:rsidRPr="00F84E67" w14:paraId="6D31836A" w14:textId="77777777" w:rsidTr="003D0EE0">
        <w:tc>
          <w:tcPr>
            <w:tcW w:w="4138" w:type="dxa"/>
          </w:tcPr>
          <w:p w14:paraId="4EFD79AB" w14:textId="77777777" w:rsidR="006C0C9F" w:rsidRPr="00620AB9" w:rsidRDefault="006C0C9F" w:rsidP="003D0EE0">
            <w:pPr>
              <w:pStyle w:val="Caption"/>
              <w:spacing w:before="0" w:after="0"/>
              <w:ind w:firstLine="0"/>
              <w:rPr>
                <w:sz w:val="20"/>
                <w:szCs w:val="20"/>
                <w:vertAlign w:val="subscript"/>
                <w:lang w:val="en-US"/>
              </w:rPr>
            </w:pPr>
            <w:r w:rsidRPr="00620AB9">
              <w:rPr>
                <w:noProof/>
                <w:sz w:val="20"/>
                <w:szCs w:val="20"/>
                <w:lang w:val="en-US"/>
              </w:rPr>
              <w:drawing>
                <wp:inline distT="0" distB="0" distL="0" distR="0" wp14:anchorId="5F4F9870" wp14:editId="0B97FC66">
                  <wp:extent cx="2603500" cy="1955165"/>
                  <wp:effectExtent l="0" t="0" r="6350" b="6985"/>
                  <wp:docPr id="2" name="Chart 2" title="qe (mg/g)">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bl>
    <w:p w14:paraId="1F8B61BC" w14:textId="77777777" w:rsidR="006C0C9F" w:rsidRDefault="006C0C9F" w:rsidP="006C0C9F">
      <w:pPr>
        <w:pStyle w:val="FigureTitlte"/>
        <w:rPr>
          <w:lang w:val="vi-VN"/>
        </w:rPr>
      </w:pPr>
      <w:r w:rsidRPr="00F84E67">
        <w:t>Figure 8. Effect of pH</w:t>
      </w:r>
    </w:p>
    <w:p w14:paraId="41313640" w14:textId="77777777" w:rsidR="006C0C9F" w:rsidRPr="00F84E67" w:rsidRDefault="006C0C9F" w:rsidP="006C0C9F">
      <w:pPr>
        <w:pStyle w:val="Text"/>
        <w:rPr>
          <w:rFonts w:cs="Times New Roman"/>
          <w:szCs w:val="20"/>
        </w:rPr>
      </w:pPr>
      <w:r w:rsidRPr="00F84E67">
        <w:rPr>
          <w:rFonts w:cs="Times New Roman"/>
          <w:szCs w:val="20"/>
          <w:lang w:val="vi-VN"/>
        </w:rPr>
        <w:t>T</w:t>
      </w:r>
      <w:r w:rsidRPr="00F84E67">
        <w:rPr>
          <w:rFonts w:cs="Times New Roman"/>
          <w:szCs w:val="20"/>
        </w:rPr>
        <w:t xml:space="preserve">he adsorption capacity of </w:t>
      </w:r>
      <w:r w:rsidRPr="00F84E67">
        <w:rPr>
          <w:rFonts w:cs="Times New Roman"/>
          <w:szCs w:val="20"/>
          <w:lang w:val="vi-VN"/>
        </w:rPr>
        <w:t xml:space="preserve">the </w:t>
      </w:r>
      <w:r w:rsidRPr="00F84E67">
        <w:rPr>
          <w:rFonts w:cs="Times New Roman"/>
          <w:szCs w:val="20"/>
        </w:rPr>
        <w:t>FGP-3 and FGP-6</w:t>
      </w:r>
      <w:r w:rsidRPr="00F84E67">
        <w:rPr>
          <w:rFonts w:cs="Times New Roman"/>
          <w:szCs w:val="20"/>
          <w:lang w:val="vi-VN"/>
        </w:rPr>
        <w:t xml:space="preserve"> </w:t>
      </w:r>
      <w:r w:rsidRPr="00F84E67">
        <w:rPr>
          <w:rFonts w:cs="Times New Roman"/>
          <w:szCs w:val="20"/>
        </w:rPr>
        <w:t>increased when the pH increased from 4.5 to 10.5</w:t>
      </w:r>
      <w:r w:rsidRPr="00F84E67">
        <w:rPr>
          <w:rFonts w:cs="Times New Roman"/>
          <w:szCs w:val="20"/>
          <w:lang w:val="vi-VN"/>
        </w:rPr>
        <w:t xml:space="preserve"> (</w:t>
      </w:r>
      <w:r w:rsidRPr="00F84E67">
        <w:rPr>
          <w:rFonts w:cs="Times New Roman"/>
          <w:szCs w:val="20"/>
        </w:rPr>
        <w:t>Figure 8</w:t>
      </w:r>
      <w:r w:rsidRPr="00F84E67">
        <w:rPr>
          <w:rFonts w:cs="Times New Roman"/>
          <w:szCs w:val="20"/>
          <w:lang w:val="vi-VN"/>
        </w:rPr>
        <w:t>)</w:t>
      </w:r>
      <w:r w:rsidRPr="00F84E67">
        <w:rPr>
          <w:rFonts w:cs="Times New Roman"/>
          <w:szCs w:val="20"/>
        </w:rPr>
        <w:t>. Increasing the pH value improved adsorption</w:t>
      </w:r>
      <w:r w:rsidRPr="00F84E67">
        <w:rPr>
          <w:rFonts w:cs="Times New Roman"/>
          <w:szCs w:val="20"/>
          <w:lang w:val="vi-VN"/>
        </w:rPr>
        <w:t xml:space="preserve"> </w:t>
      </w:r>
      <w:r w:rsidRPr="00F84E67">
        <w:rPr>
          <w:rFonts w:cs="Times New Roman"/>
          <w:szCs w:val="20"/>
        </w:rPr>
        <w:t>efficiency</w:t>
      </w:r>
      <w:r w:rsidRPr="00F84E67">
        <w:rPr>
          <w:rFonts w:cs="Times New Roman"/>
          <w:szCs w:val="20"/>
          <w:lang w:val="vi-VN"/>
        </w:rPr>
        <w:t xml:space="preserve"> and</w:t>
      </w:r>
      <w:r w:rsidRPr="00F84E67">
        <w:rPr>
          <w:rFonts w:cs="Times New Roman"/>
          <w:szCs w:val="20"/>
        </w:rPr>
        <w:t xml:space="preserve"> capacity </w:t>
      </w:r>
      <w:r w:rsidRPr="00F84E67">
        <w:rPr>
          <w:rFonts w:cs="Times New Roman"/>
          <w:szCs w:val="20"/>
          <w:lang w:val="vi-VN"/>
        </w:rPr>
        <w:t>of</w:t>
      </w:r>
      <w:r w:rsidRPr="00F84E67">
        <w:rPr>
          <w:rFonts w:cs="Times New Roman"/>
          <w:szCs w:val="20"/>
        </w:rPr>
        <w:t xml:space="preserve"> FGP-3 and FGP-6</w:t>
      </w:r>
      <w:r w:rsidRPr="00F84E67">
        <w:rPr>
          <w:rFonts w:cs="Times New Roman"/>
          <w:szCs w:val="20"/>
          <w:lang w:val="vi-VN"/>
        </w:rPr>
        <w:t xml:space="preserve"> on MB</w:t>
      </w:r>
      <w:r w:rsidRPr="00F84E67">
        <w:rPr>
          <w:rFonts w:cs="Times New Roman"/>
          <w:szCs w:val="20"/>
        </w:rPr>
        <w:t xml:space="preserve">. At pH 10.5, the highest efficiency </w:t>
      </w:r>
      <w:r w:rsidRPr="00F84E67">
        <w:rPr>
          <w:rFonts w:cs="Times New Roman"/>
          <w:szCs w:val="20"/>
          <w:lang w:val="vi-VN"/>
        </w:rPr>
        <w:t>was recorded at</w:t>
      </w:r>
      <w:r w:rsidRPr="00F84E67">
        <w:rPr>
          <w:rFonts w:cs="Times New Roman"/>
          <w:szCs w:val="20"/>
        </w:rPr>
        <w:t xml:space="preserve"> 26.6% </w:t>
      </w:r>
      <w:r w:rsidRPr="00F84E67">
        <w:rPr>
          <w:rFonts w:cs="Times New Roman"/>
          <w:szCs w:val="20"/>
          <w:lang w:val="vi-VN"/>
        </w:rPr>
        <w:t>with</w:t>
      </w:r>
      <w:r w:rsidRPr="00F84E67">
        <w:rPr>
          <w:rFonts w:cs="Times New Roman"/>
          <w:szCs w:val="20"/>
        </w:rPr>
        <w:t xml:space="preserve"> FGP-3 and 28.4% with FGP-6</w:t>
      </w:r>
      <w:r w:rsidRPr="00F84E67">
        <w:rPr>
          <w:rFonts w:cs="Times New Roman"/>
          <w:szCs w:val="20"/>
          <w:lang w:val="vi-VN"/>
        </w:rPr>
        <w:t>, respectively</w:t>
      </w:r>
      <w:r w:rsidRPr="00F84E67">
        <w:rPr>
          <w:rFonts w:cs="Times New Roman"/>
          <w:szCs w:val="20"/>
        </w:rPr>
        <w:t>. Thus, pH 10.5</w:t>
      </w:r>
      <w:r w:rsidRPr="00F84E67">
        <w:rPr>
          <w:rFonts w:cs="Times New Roman"/>
          <w:szCs w:val="20"/>
          <w:lang w:val="vi-VN"/>
        </w:rPr>
        <w:t xml:space="preserve"> was chosen as</w:t>
      </w:r>
      <w:r w:rsidRPr="00F84E67">
        <w:rPr>
          <w:rFonts w:cs="Times New Roman"/>
          <w:szCs w:val="20"/>
        </w:rPr>
        <w:t xml:space="preserve"> the optimal pH condition.</w:t>
      </w:r>
    </w:p>
    <w:p w14:paraId="17FAFDA2" w14:textId="77777777" w:rsidR="006C0C9F" w:rsidRPr="00F84E67" w:rsidRDefault="006C0C9F" w:rsidP="006C0C9F">
      <w:pPr>
        <w:pStyle w:val="Heading3"/>
        <w:rPr>
          <w:lang w:val="en-GB"/>
        </w:rPr>
      </w:pPr>
      <w:r w:rsidRPr="00F84E67">
        <w:rPr>
          <w:lang w:val="en-GB"/>
        </w:rPr>
        <w:t>Effect of initial MB concentration on adsorption capacity</w:t>
      </w:r>
    </w:p>
    <w:p w14:paraId="12E0F52A" w14:textId="77777777" w:rsidR="006C0C9F" w:rsidRPr="00F84E67" w:rsidRDefault="006C0C9F" w:rsidP="006C0C9F">
      <w:pPr>
        <w:pStyle w:val="Text"/>
        <w:rPr>
          <w:lang w:val="en-GB"/>
        </w:rPr>
      </w:pPr>
      <w:r w:rsidRPr="006C0C9F">
        <w:t>Effect</w:t>
      </w:r>
      <w:r w:rsidRPr="00F84E67">
        <w:rPr>
          <w:lang w:val="en-GB"/>
        </w:rPr>
        <w:t xml:space="preserve"> of initial MB concentration is presented in Figure 9.</w:t>
      </w: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4138"/>
      </w:tblGrid>
      <w:tr w:rsidR="006C0C9F" w:rsidRPr="00F84E67" w14:paraId="755E7FCD" w14:textId="77777777" w:rsidTr="003D0EE0">
        <w:tc>
          <w:tcPr>
            <w:tcW w:w="4138" w:type="dxa"/>
          </w:tcPr>
          <w:p w14:paraId="5B2A0068" w14:textId="77777777" w:rsidR="006C0C9F" w:rsidRPr="00F84E67" w:rsidRDefault="006C0C9F" w:rsidP="006C0C9F">
            <w:pPr>
              <w:pStyle w:val="Text"/>
              <w:spacing w:before="0" w:after="0"/>
              <w:jc w:val="center"/>
              <w:rPr>
                <w:rFonts w:cs="Times New Roman"/>
                <w:szCs w:val="20"/>
                <w:lang w:val="de-DE"/>
              </w:rPr>
            </w:pPr>
            <w:r w:rsidRPr="00F84E67">
              <w:rPr>
                <w:rFonts w:cs="Times New Roman"/>
                <w:noProof/>
                <w:szCs w:val="20"/>
              </w:rPr>
              <w:drawing>
                <wp:inline distT="0" distB="0" distL="0" distR="0" wp14:anchorId="60BA8442" wp14:editId="6E70C272">
                  <wp:extent cx="2609850" cy="1774190"/>
                  <wp:effectExtent l="0" t="0" r="0" b="0"/>
                  <wp:docPr id="23" name="Chart 23">
                    <a:extLst xmlns:a="http://schemas.openxmlformats.org/drawingml/2006/main">
                      <a:ext uri="{FF2B5EF4-FFF2-40B4-BE49-F238E27FC236}">
                        <a16:creationId xmlns:a16="http://schemas.microsoft.com/office/drawing/2014/main" id="{00000000-0008-0000-05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bl>
    <w:p w14:paraId="4559DC80" w14:textId="77777777" w:rsidR="006C0C9F" w:rsidRDefault="006C0C9F" w:rsidP="006C0C9F">
      <w:pPr>
        <w:pStyle w:val="FigureTitlte"/>
        <w:rPr>
          <w:lang w:val="en-GB"/>
        </w:rPr>
      </w:pPr>
      <w:r w:rsidRPr="00F84E67">
        <w:t>Figure 9. Effect of initial MB concentration</w:t>
      </w:r>
    </w:p>
    <w:p w14:paraId="236CEC40" w14:textId="77777777" w:rsidR="006C0C9F" w:rsidRPr="00F84E67" w:rsidRDefault="006C0C9F" w:rsidP="006C0C9F">
      <w:pPr>
        <w:pStyle w:val="Text"/>
        <w:rPr>
          <w:rFonts w:cs="Times New Roman"/>
          <w:szCs w:val="20"/>
          <w:lang w:val="en-GB"/>
        </w:rPr>
      </w:pPr>
      <w:r w:rsidRPr="00F84E67">
        <w:rPr>
          <w:rFonts w:cs="Times New Roman"/>
          <w:szCs w:val="20"/>
          <w:lang w:val="en-GB"/>
        </w:rPr>
        <w:t>Generally, when initial concentration (C</w:t>
      </w:r>
      <w:r w:rsidRPr="00F84E67">
        <w:rPr>
          <w:rFonts w:cs="Times New Roman"/>
          <w:szCs w:val="20"/>
          <w:vertAlign w:val="subscript"/>
          <w:lang w:val="en-GB"/>
        </w:rPr>
        <w:t>0</w:t>
      </w:r>
      <w:r w:rsidRPr="00F84E67">
        <w:rPr>
          <w:rFonts w:cs="Times New Roman"/>
          <w:szCs w:val="20"/>
          <w:lang w:val="en-GB"/>
        </w:rPr>
        <w:t>) of MB increased, the adsorption capacity of FGP-3 on MB increased while the adsorption efficiency decreased. The initial concentration (C</w:t>
      </w:r>
      <w:r w:rsidRPr="00F84E67">
        <w:rPr>
          <w:rFonts w:cs="Times New Roman"/>
          <w:szCs w:val="20"/>
          <w:vertAlign w:val="subscript"/>
          <w:lang w:val="en-GB"/>
        </w:rPr>
        <w:t>0</w:t>
      </w:r>
      <w:r w:rsidRPr="00F84E67">
        <w:rPr>
          <w:rFonts w:cs="Times New Roman"/>
          <w:szCs w:val="20"/>
          <w:lang w:val="en-GB"/>
        </w:rPr>
        <w:t>) of MB increased from 5 mg.L</w:t>
      </w:r>
      <w:r w:rsidRPr="00F84E67">
        <w:rPr>
          <w:rFonts w:cs="Times New Roman"/>
          <w:szCs w:val="20"/>
          <w:vertAlign w:val="superscript"/>
          <w:lang w:val="en-GB"/>
        </w:rPr>
        <w:t>-1</w:t>
      </w:r>
      <w:r w:rsidRPr="00F84E67">
        <w:rPr>
          <w:rFonts w:cs="Times New Roman"/>
          <w:szCs w:val="20"/>
          <w:lang w:val="en-GB"/>
        </w:rPr>
        <w:t xml:space="preserve"> to 30 mg.L</w:t>
      </w:r>
      <w:r w:rsidRPr="00F84E67">
        <w:rPr>
          <w:rFonts w:cs="Times New Roman"/>
          <w:szCs w:val="20"/>
          <w:vertAlign w:val="superscript"/>
          <w:lang w:val="en-GB"/>
        </w:rPr>
        <w:t>-1</w:t>
      </w:r>
      <w:r w:rsidRPr="00F84E67">
        <w:rPr>
          <w:rFonts w:cs="Times New Roman"/>
          <w:szCs w:val="20"/>
          <w:lang w:val="en-GB"/>
        </w:rPr>
        <w:t>, the efficiency and q</w:t>
      </w:r>
      <w:r w:rsidRPr="00F84E67">
        <w:rPr>
          <w:rFonts w:cs="Times New Roman"/>
          <w:szCs w:val="20"/>
          <w:vertAlign w:val="subscript"/>
          <w:lang w:val="en-GB"/>
        </w:rPr>
        <w:t>e</w:t>
      </w:r>
      <w:r w:rsidRPr="00F84E67">
        <w:rPr>
          <w:rFonts w:cs="Times New Roman"/>
          <w:szCs w:val="20"/>
          <w:lang w:val="en-GB"/>
        </w:rPr>
        <w:t xml:space="preserve"> changed from 29.0% and 7.26 mg.g</w:t>
      </w:r>
      <w:r w:rsidRPr="00F84E67">
        <w:rPr>
          <w:rFonts w:cs="Times New Roman"/>
          <w:szCs w:val="20"/>
          <w:vertAlign w:val="superscript"/>
          <w:lang w:val="en-GB"/>
        </w:rPr>
        <w:t>-1</w:t>
      </w:r>
      <w:r w:rsidRPr="00F84E67">
        <w:rPr>
          <w:rFonts w:cs="Times New Roman"/>
          <w:szCs w:val="20"/>
          <w:lang w:val="en-GB"/>
        </w:rPr>
        <w:t xml:space="preserve"> to 20.3% and 30.4 mg. g</w:t>
      </w:r>
      <w:r w:rsidRPr="00F84E67">
        <w:rPr>
          <w:rFonts w:cs="Times New Roman"/>
          <w:szCs w:val="20"/>
          <w:vertAlign w:val="superscript"/>
          <w:lang w:val="en-GB"/>
        </w:rPr>
        <w:t>-1</w:t>
      </w:r>
      <w:r w:rsidRPr="00F84E67">
        <w:rPr>
          <w:rFonts w:cs="Times New Roman"/>
          <w:szCs w:val="20"/>
          <w:lang w:val="en-GB"/>
        </w:rPr>
        <w:t xml:space="preserve">. The similar results were seem with FGP-6. This could be explained that when the initial MB concentration was still low (dilute solution), the ions were free to move, the active centres on the surface of adsorbents were not filled with ions, so the </w:t>
      </w:r>
      <w:r w:rsidRPr="00F84E67">
        <w:rPr>
          <w:rFonts w:cs="Times New Roman"/>
          <w:szCs w:val="20"/>
          <w:lang w:val="en-GB"/>
        </w:rPr>
        <w:lastRenderedPageBreak/>
        <w:t xml:space="preserve">adsorption efficiency additive increased with initial concentration. However, when the initial concentration increased to a certain value, when the active </w:t>
      </w:r>
      <w:r w:rsidRPr="00F84E67">
        <w:rPr>
          <w:rFonts w:cs="Times New Roman"/>
          <w:szCs w:val="20"/>
        </w:rPr>
        <w:t>centers</w:t>
      </w:r>
      <w:r w:rsidRPr="00F84E67">
        <w:rPr>
          <w:rFonts w:cs="Times New Roman"/>
          <w:szCs w:val="20"/>
          <w:lang w:val="en-GB"/>
        </w:rPr>
        <w:t xml:space="preserve"> were filled with metal ions, the efficiency gradually stabilized and decreased. Therefore, the initial concentration was selected as 5 mg.L</w:t>
      </w:r>
      <w:r w:rsidRPr="00F84E67">
        <w:rPr>
          <w:rFonts w:cs="Times New Roman"/>
          <w:szCs w:val="20"/>
          <w:vertAlign w:val="superscript"/>
          <w:lang w:val="en-GB"/>
        </w:rPr>
        <w:t>-1</w:t>
      </w:r>
      <w:r w:rsidRPr="00F84E67">
        <w:rPr>
          <w:rFonts w:cs="Times New Roman"/>
          <w:szCs w:val="20"/>
          <w:lang w:val="en-GB"/>
        </w:rPr>
        <w:t xml:space="preserve"> to investigate the next factors.</w:t>
      </w:r>
    </w:p>
    <w:p w14:paraId="24B00D3F" w14:textId="77777777" w:rsidR="006C0C9F" w:rsidRPr="00F84E67" w:rsidRDefault="006C0C9F" w:rsidP="006C0C9F">
      <w:pPr>
        <w:pStyle w:val="Heading3"/>
        <w:rPr>
          <w:lang w:val="en-GB"/>
        </w:rPr>
      </w:pPr>
      <w:r w:rsidRPr="006C0C9F">
        <w:t>Effect</w:t>
      </w:r>
      <w:r w:rsidRPr="00F84E67">
        <w:rPr>
          <w:lang w:val="en-GB"/>
        </w:rPr>
        <w:t xml:space="preserve"> of time on MB adsorption capacity</w:t>
      </w:r>
    </w:p>
    <w:p w14:paraId="10F8F3FE" w14:textId="77777777" w:rsidR="006C0C9F" w:rsidRDefault="006C0C9F" w:rsidP="006C0C9F">
      <w:pPr>
        <w:pStyle w:val="Text"/>
      </w:pPr>
      <w:r w:rsidRPr="00F84E67">
        <w:t xml:space="preserve">The adsorption time is an essential factor that governs the kinetics of the adsorption process and could monitor the usage of adsorbents for practical </w:t>
      </w:r>
      <w:r w:rsidRPr="00F84E67">
        <w:rPr>
          <w:lang w:val="en-GB"/>
        </w:rPr>
        <w:t>applications</w:t>
      </w:r>
      <w:r w:rsidRPr="00F84E67">
        <w:t xml:space="preserve">. The effect </w:t>
      </w:r>
      <w:r w:rsidRPr="006C0C9F">
        <w:t>of</w:t>
      </w:r>
      <w:r w:rsidRPr="00F84E67">
        <w:t xml:space="preserve"> time on MB adsorption capacity was investigated between 1 - 24 h as shown in Figure 10.</w:t>
      </w:r>
    </w:p>
    <w:p w14:paraId="39B52367" w14:textId="77777777" w:rsidR="00DD3810" w:rsidRPr="00F84E67" w:rsidRDefault="00DD3810" w:rsidP="006C0C9F">
      <w:pPr>
        <w:pStyle w:val="Text"/>
      </w:pPr>
      <w:r w:rsidRPr="00F84E67">
        <w:rPr>
          <w:rFonts w:eastAsiaTheme="minorEastAsia" w:cs="Times New Roman"/>
          <w:szCs w:val="20"/>
        </w:rPr>
        <w:t xml:space="preserve">It can be seen from Figure 10 that the adsorption efficiency of FGP-3 on MB linearly and gradually increased in </w:t>
      </w:r>
      <w:r w:rsidRPr="00F84E67">
        <w:rPr>
          <w:rFonts w:cs="Times New Roman"/>
          <w:szCs w:val="20"/>
        </w:rPr>
        <w:t xml:space="preserve">1 </w:t>
      </w:r>
      <m:oMath>
        <m:r>
          <w:rPr>
            <w:rFonts w:ascii="Cambria Math" w:hAnsi="Cambria Math" w:cs="Times New Roman"/>
            <w:szCs w:val="20"/>
          </w:rPr>
          <m:t>÷</m:t>
        </m:r>
      </m:oMath>
      <w:r w:rsidRPr="00F84E67">
        <w:rPr>
          <w:rFonts w:eastAsiaTheme="minorEastAsia" w:cs="Times New Roman"/>
          <w:szCs w:val="20"/>
        </w:rPr>
        <w:t xml:space="preserve"> 12 h, decreasing gradually in 15 ÷ 24 h. The adsorption capacity reached 67.9% in first 9 h, which was the period when the amount of MB was fastest adsorbed. The initial removal efficiency increased rapidly due to the accessibility of numerous vacant surfactant adsorption sites. Then, over a period of 9 to 12 h, the adsorption efficiency increased from 67.9% to 74.1%. After 12 h, the adsorption efficiency gradually decreased as the amount of surfactant decreased. This could be explained that the sites and molecules have to move farther and deeper into the pores until the adsorption reaches equilibrium. The similarity went for FGP-6 performance rapidly increased from 1 to 9 h and reached equilibrium at 12 h with an adsorption efficiency and</w:t>
      </w:r>
      <w:r w:rsidRPr="00F84E67">
        <w:rPr>
          <w:rFonts w:eastAsiaTheme="minorEastAsia" w:cs="Times New Roman"/>
          <w:szCs w:val="20"/>
          <w:lang w:val="vi-VN"/>
        </w:rPr>
        <w:t xml:space="preserve"> </w:t>
      </w:r>
      <w:r w:rsidRPr="00F84E67">
        <w:rPr>
          <w:rFonts w:eastAsiaTheme="minorEastAsia" w:cs="Times New Roman"/>
          <w:szCs w:val="20"/>
        </w:rPr>
        <w:t>capacity of 69.8% and 17.4 mg.g</w:t>
      </w:r>
      <w:r w:rsidRPr="00F84E67">
        <w:rPr>
          <w:rFonts w:eastAsiaTheme="minorEastAsia" w:cs="Times New Roman"/>
          <w:szCs w:val="20"/>
          <w:vertAlign w:val="superscript"/>
        </w:rPr>
        <w:t>-1</w:t>
      </w:r>
      <w:r w:rsidRPr="00F84E67">
        <w:rPr>
          <w:rFonts w:eastAsiaTheme="minorEastAsia" w:cs="Times New Roman"/>
          <w:szCs w:val="20"/>
          <w:vertAlign w:val="superscript"/>
          <w:lang w:val="vi-VN"/>
        </w:rPr>
        <w:t xml:space="preserve">, </w:t>
      </w:r>
      <w:r w:rsidRPr="00F84E67">
        <w:rPr>
          <w:rFonts w:eastAsiaTheme="minorEastAsia" w:cs="Times New Roman"/>
          <w:szCs w:val="20"/>
        </w:rPr>
        <w:t>respectively. However, in the same period of 12 h with the FGP-3 material, the adsorption efficiency and capacity were higher than that of the FGP-6 material, 74.1% and 18</w:t>
      </w:r>
      <w:r w:rsidRPr="00F84E67">
        <w:rPr>
          <w:rFonts w:eastAsiaTheme="minorEastAsia" w:cs="Times New Roman"/>
          <w:szCs w:val="20"/>
          <w:lang w:val="vi-VN"/>
        </w:rPr>
        <w:t>.</w:t>
      </w:r>
      <w:r w:rsidRPr="00F84E67">
        <w:rPr>
          <w:rFonts w:eastAsiaTheme="minorEastAsia" w:cs="Times New Roman"/>
          <w:szCs w:val="20"/>
        </w:rPr>
        <w:t>5 mg.g</w:t>
      </w:r>
      <w:r w:rsidRPr="00F84E67">
        <w:rPr>
          <w:rFonts w:cs="Times New Roman"/>
          <w:szCs w:val="20"/>
          <w:vertAlign w:val="superscript"/>
          <w:lang w:val="en-GB"/>
        </w:rPr>
        <w:t>-1</w:t>
      </w:r>
      <w:r w:rsidRPr="00F84E67">
        <w:rPr>
          <w:rFonts w:eastAsiaTheme="minorEastAsia" w:cs="Times New Roman"/>
          <w:szCs w:val="20"/>
        </w:rPr>
        <w:t>, respectively. Therefore, FGP-3 was chosen as the optimal adsorbent and the time of 12 h for next experiment.</w:t>
      </w: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4138"/>
      </w:tblGrid>
      <w:tr w:rsidR="006C0C9F" w:rsidRPr="00F84E67" w14:paraId="4BA7D3A7" w14:textId="77777777" w:rsidTr="006C0C9F">
        <w:tc>
          <w:tcPr>
            <w:tcW w:w="4148" w:type="dxa"/>
          </w:tcPr>
          <w:p w14:paraId="751BEEDF" w14:textId="77777777" w:rsidR="006C0C9F" w:rsidRPr="00F84E67" w:rsidRDefault="006C0C9F" w:rsidP="006C0C9F">
            <w:pPr>
              <w:pStyle w:val="Text"/>
              <w:spacing w:before="0"/>
              <w:jc w:val="center"/>
              <w:rPr>
                <w:rFonts w:cs="Times New Roman"/>
                <w:szCs w:val="20"/>
              </w:rPr>
            </w:pPr>
            <w:r w:rsidRPr="00F84E67">
              <w:rPr>
                <w:rFonts w:cs="Times New Roman"/>
                <w:noProof/>
                <w:szCs w:val="20"/>
              </w:rPr>
              <w:drawing>
                <wp:inline distT="0" distB="0" distL="0" distR="0" wp14:anchorId="76E093E2" wp14:editId="79F3FE39">
                  <wp:extent cx="2609850" cy="1781175"/>
                  <wp:effectExtent l="0" t="0" r="0" b="0"/>
                  <wp:docPr id="25" name="Chart 25">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006F8437" w14:textId="77777777" w:rsidR="006C0C9F" w:rsidRDefault="006C0C9F" w:rsidP="006C0C9F">
      <w:pPr>
        <w:pStyle w:val="FigureTitlte"/>
        <w:rPr>
          <w:rFonts w:eastAsiaTheme="minorEastAsia"/>
        </w:rPr>
      </w:pPr>
      <w:r w:rsidRPr="00F84E67">
        <w:t>Figure 10. Effect of time adsorption</w:t>
      </w:r>
    </w:p>
    <w:p w14:paraId="512FDD97" w14:textId="77777777" w:rsidR="006C0C9F" w:rsidRPr="00F84E67" w:rsidRDefault="006C0C9F" w:rsidP="006C0C9F">
      <w:pPr>
        <w:pStyle w:val="Heading3"/>
        <w:rPr>
          <w:lang w:val="en-GB"/>
        </w:rPr>
      </w:pPr>
      <w:r w:rsidRPr="00F84E67">
        <w:rPr>
          <w:lang w:val="en-GB"/>
        </w:rPr>
        <w:t>Effect of adsorbent content on MB adsorption capacity</w:t>
      </w:r>
    </w:p>
    <w:p w14:paraId="3454B8C2" w14:textId="77777777" w:rsidR="006C0C9F" w:rsidRDefault="006C0C9F" w:rsidP="006C0C9F">
      <w:pPr>
        <w:pStyle w:val="Text"/>
        <w:rPr>
          <w:rFonts w:cs="Times New Roman"/>
          <w:szCs w:val="20"/>
        </w:rPr>
      </w:pPr>
      <w:r w:rsidRPr="00F84E67">
        <w:rPr>
          <w:rFonts w:cs="Times New Roman"/>
          <w:szCs w:val="20"/>
        </w:rPr>
        <w:t xml:space="preserve">The optimization of the amount of adsorbent for dye adsorption is a necessary parameter to adjust the adsorption capacity of the adsorbent. </w:t>
      </w:r>
    </w:p>
    <w:p w14:paraId="3140B3AF" w14:textId="77777777" w:rsidR="00DD3810" w:rsidRPr="00DD3810" w:rsidRDefault="00DD3810" w:rsidP="006C0C9F">
      <w:pPr>
        <w:pStyle w:val="Text"/>
      </w:pPr>
      <w:r w:rsidRPr="00F84E67">
        <w:t>Figure 11 shows the relation of FGP-3 mass and MB adsorption efficiency. The adsorption efficiency achieved 54.3% and 74.1% accordingly to 5 mg and 10 mg FGP-3. The highest adsorption efficiency and capacity reached 91.8% and 22</w:t>
      </w:r>
      <w:r w:rsidRPr="00F84E67">
        <w:rPr>
          <w:lang w:val="vi-VN"/>
        </w:rPr>
        <w:t>.</w:t>
      </w:r>
      <w:r w:rsidRPr="00F84E67">
        <w:t>9 mg.g</w:t>
      </w:r>
      <w:r w:rsidRPr="00F84E67">
        <w:rPr>
          <w:vertAlign w:val="superscript"/>
        </w:rPr>
        <w:t>-1</w:t>
      </w:r>
      <w:r w:rsidRPr="00F84E67">
        <w:t xml:space="preserve"> with FGP-3 mass of 50 mg. The increase in removal efficiency can be attributed to the enhancement of the overall surface area of the adsorbent and the actively exchangeable adsorption sites. This could be explained by increasing the adsorbent mass will in turn increase the removal efficiency and decrease the adsorption capacity (Mashkoor et al., 2020). The effective surface area of the adsorbent per unit mass considerably decreases at its higher concentrations due to interference phenomena such as aggregation or agglomeration. This </w:t>
      </w:r>
      <w:r w:rsidRPr="006C0C9F">
        <w:t>leads</w:t>
      </w:r>
      <w:r w:rsidRPr="00F84E67">
        <w:t xml:space="preserve"> to a decrease in adsorption capacity and many adsorbent sites are still vacant, so the adsorption cannot reach saturation (Iftekhar et al., 2018). Therefore, the optimal FGP-3 mass of 50 mg was selected.</w:t>
      </w: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4138"/>
      </w:tblGrid>
      <w:tr w:rsidR="006C0C9F" w:rsidRPr="00F84E67" w14:paraId="3EFDA9BF" w14:textId="77777777" w:rsidTr="003D0EE0">
        <w:tc>
          <w:tcPr>
            <w:tcW w:w="4138" w:type="dxa"/>
          </w:tcPr>
          <w:p w14:paraId="1A3A05D0" w14:textId="77777777" w:rsidR="006C0C9F" w:rsidRPr="00F84E67" w:rsidRDefault="006C0C9F" w:rsidP="006C0C9F">
            <w:pPr>
              <w:pStyle w:val="Text"/>
              <w:spacing w:before="0" w:after="0"/>
              <w:rPr>
                <w:rFonts w:cs="Times New Roman"/>
                <w:szCs w:val="20"/>
              </w:rPr>
            </w:pPr>
            <w:r w:rsidRPr="00F84E67">
              <w:rPr>
                <w:rFonts w:cs="Times New Roman"/>
                <w:noProof/>
                <w:szCs w:val="20"/>
              </w:rPr>
              <w:drawing>
                <wp:inline distT="0" distB="0" distL="0" distR="0" wp14:anchorId="40BC89C6" wp14:editId="1BFE351E">
                  <wp:extent cx="2609850" cy="2063750"/>
                  <wp:effectExtent l="0" t="0" r="0" b="0"/>
                  <wp:docPr id="22" name="Chart 22">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2465CC2C" w14:textId="77777777" w:rsidR="006C0C9F" w:rsidRDefault="006C0C9F" w:rsidP="006C0C9F">
      <w:pPr>
        <w:pStyle w:val="FigureTitlte"/>
      </w:pPr>
      <w:r w:rsidRPr="00F84E67">
        <w:t>Figure 11. Effect of adsorbent mass</w:t>
      </w:r>
    </w:p>
    <w:p w14:paraId="705667E8" w14:textId="77777777" w:rsidR="006C0C9F" w:rsidRPr="00F84E67" w:rsidRDefault="006C0C9F" w:rsidP="006C0C9F">
      <w:pPr>
        <w:pStyle w:val="Heading2"/>
      </w:pPr>
      <w:r w:rsidRPr="00F84E67">
        <w:t>Adsorption kinetics</w:t>
      </w:r>
    </w:p>
    <w:p w14:paraId="3DDD2AC3" w14:textId="77777777" w:rsidR="006C0C9F" w:rsidRPr="00F84E67" w:rsidRDefault="006C0C9F" w:rsidP="006C0C9F">
      <w:pPr>
        <w:pStyle w:val="Text"/>
      </w:pPr>
      <w:r w:rsidRPr="00F84E67">
        <w:rPr>
          <w:lang w:val="vi-VN"/>
        </w:rPr>
        <w:t xml:space="preserve">It is crucial to </w:t>
      </w:r>
      <w:r w:rsidRPr="00F84E67">
        <w:t xml:space="preserve">determine the adsorption kinetics </w:t>
      </w:r>
      <w:r w:rsidRPr="00F84E67">
        <w:rPr>
          <w:lang w:val="vi-VN"/>
        </w:rPr>
        <w:t>to</w:t>
      </w:r>
      <w:r w:rsidRPr="00F84E67">
        <w:t xml:space="preserve"> understand the adsorption mechanism of the adsorbent. In this study, the MB dye adsorption kinetics of </w:t>
      </w:r>
      <w:r w:rsidRPr="00F84E67">
        <w:rPr>
          <w:lang w:val="vi-VN"/>
        </w:rPr>
        <w:t>FGP-3</w:t>
      </w:r>
      <w:r w:rsidRPr="00F84E67">
        <w:t xml:space="preserve"> followed the hypothetical second-order adsorption model shown in the calculated results (Table 2).</w:t>
      </w:r>
    </w:p>
    <w:p w14:paraId="68BE61DD" w14:textId="77777777" w:rsidR="006C0C9F" w:rsidRPr="00F84E67" w:rsidRDefault="006C0C9F" w:rsidP="006C0C9F">
      <w:pPr>
        <w:pStyle w:val="Text"/>
      </w:pPr>
      <w:r w:rsidRPr="00F84E67">
        <w:t>From the parameters of the hypothetical equation in Table 2, it can be seen that the linear regression coefficient R</w:t>
      </w:r>
      <w:r w:rsidRPr="00F84E67">
        <w:rPr>
          <w:vertAlign w:val="superscript"/>
        </w:rPr>
        <w:t>2</w:t>
      </w:r>
      <w:r w:rsidRPr="00F84E67">
        <w:t xml:space="preserve"> of 0.</w:t>
      </w:r>
      <w:r w:rsidRPr="006C0C9F">
        <w:t>9925</w:t>
      </w:r>
      <w:r w:rsidRPr="00F84E67">
        <w:t xml:space="preserve"> of the second order was </w:t>
      </w:r>
      <w:r w:rsidRPr="00F84E67">
        <w:lastRenderedPageBreak/>
        <w:t>suitable. The adsorption capacity q</w:t>
      </w:r>
      <w:r w:rsidRPr="00F84E67">
        <w:rPr>
          <w:vertAlign w:val="subscript"/>
        </w:rPr>
        <w:t>e</w:t>
      </w:r>
      <w:r w:rsidRPr="00F84E67">
        <w:t xml:space="preserve"> of the second-order hypothetical equation approximates the experimental deviation by 1.485% and the reaction rate constant K</w:t>
      </w:r>
      <w:r w:rsidRPr="00F84E67">
        <w:rPr>
          <w:vertAlign w:val="subscript"/>
        </w:rPr>
        <w:t>2</w:t>
      </w:r>
      <w:r w:rsidRPr="00F84E67">
        <w:t xml:space="preserve"> = 0.000406 g.mg</w:t>
      </w:r>
      <w:r w:rsidRPr="00F84E67">
        <w:rPr>
          <w:vertAlign w:val="superscript"/>
        </w:rPr>
        <w:t>-1</w:t>
      </w:r>
      <w:r w:rsidRPr="00F84E67">
        <w:t>.p</w:t>
      </w:r>
      <w:r w:rsidRPr="00F84E67">
        <w:rPr>
          <w:vertAlign w:val="superscript"/>
        </w:rPr>
        <w:t>-1</w:t>
      </w:r>
      <w:r w:rsidRPr="00F84E67">
        <w:t xml:space="preserve">. This confirmed that the MB adsorption onto </w:t>
      </w:r>
      <w:r w:rsidRPr="00F84E67">
        <w:rPr>
          <w:lang w:val="vi-VN"/>
        </w:rPr>
        <w:t>FGP-3</w:t>
      </w:r>
      <w:r w:rsidRPr="00F84E67">
        <w:t xml:space="preserve"> followed second-order adsorption kinetics.</w:t>
      </w:r>
    </w:p>
    <w:p w14:paraId="6ABD521F" w14:textId="77777777" w:rsidR="006C0C9F" w:rsidRDefault="006C0C9F" w:rsidP="006C0C9F">
      <w:pPr>
        <w:pStyle w:val="Text"/>
      </w:pPr>
      <w:r w:rsidRPr="00F84E67">
        <w:t xml:space="preserve">Table 2 shows the second-order hypothetical adsorption kinetics with </w:t>
      </w:r>
      <w:r w:rsidRPr="006C0C9F">
        <w:t>slope</w:t>
      </w:r>
      <w:r w:rsidRPr="00F84E67">
        <w:t xml:space="preserve"> a = 0.05, showing that the adsorption capacity of the material was good.</w:t>
      </w:r>
    </w:p>
    <w:p w14:paraId="7C044C3F" w14:textId="77777777" w:rsidR="00E84DF8" w:rsidRDefault="00E84DF8" w:rsidP="006C0C9F">
      <w:pPr>
        <w:pStyle w:val="Text"/>
        <w:sectPr w:rsidR="00E84DF8" w:rsidSect="000E0E50">
          <w:type w:val="continuous"/>
          <w:pgSz w:w="10773" w:h="15309" w:code="150"/>
          <w:pgMar w:top="1418" w:right="1021" w:bottom="1418" w:left="1021" w:header="851" w:footer="851" w:gutter="0"/>
          <w:cols w:num="2" w:space="454"/>
          <w:docGrid w:linePitch="360"/>
        </w:sectPr>
      </w:pPr>
    </w:p>
    <w:p w14:paraId="4BEDF6AF" w14:textId="77777777" w:rsidR="005176A2" w:rsidRPr="00F84E67" w:rsidRDefault="005176A2" w:rsidP="005176A2">
      <w:pPr>
        <w:rPr>
          <w:rFonts w:cs="Times New Roman"/>
          <w:b/>
          <w:sz w:val="20"/>
          <w:szCs w:val="20"/>
        </w:rPr>
      </w:pPr>
      <w:r w:rsidRPr="00F84E67">
        <w:rPr>
          <w:rFonts w:cs="Times New Roman"/>
          <w:b/>
          <w:sz w:val="20"/>
          <w:szCs w:val="20"/>
        </w:rPr>
        <w:t xml:space="preserve">Table 2. First and second order hypothetical equation parameters </w:t>
      </w:r>
    </w:p>
    <w:tbl>
      <w:tblPr>
        <w:tblW w:w="5000" w:type="pct"/>
        <w:tblLook w:val="04A0" w:firstRow="1" w:lastRow="0" w:firstColumn="1" w:lastColumn="0" w:noHBand="0" w:noVBand="1"/>
      </w:tblPr>
      <w:tblGrid>
        <w:gridCol w:w="1647"/>
        <w:gridCol w:w="964"/>
        <w:gridCol w:w="962"/>
        <w:gridCol w:w="1247"/>
        <w:gridCol w:w="1245"/>
        <w:gridCol w:w="1524"/>
        <w:gridCol w:w="1142"/>
      </w:tblGrid>
      <w:tr w:rsidR="00E84DF8" w:rsidRPr="00F84E67" w14:paraId="3ABA1C67" w14:textId="77777777" w:rsidTr="00702190">
        <w:trPr>
          <w:trHeight w:val="40"/>
        </w:trPr>
        <w:tc>
          <w:tcPr>
            <w:tcW w:w="943" w:type="pct"/>
            <w:tcBorders>
              <w:top w:val="single" w:sz="8" w:space="0" w:color="auto"/>
              <w:bottom w:val="single" w:sz="8" w:space="0" w:color="auto"/>
            </w:tcBorders>
          </w:tcPr>
          <w:p w14:paraId="031D83B3" w14:textId="77777777" w:rsidR="00E84DF8" w:rsidRPr="00F84E67" w:rsidRDefault="00E84DF8" w:rsidP="003D0EE0">
            <w:pPr>
              <w:jc w:val="center"/>
              <w:rPr>
                <w:rFonts w:cs="Times New Roman"/>
                <w:sz w:val="20"/>
                <w:szCs w:val="20"/>
              </w:rPr>
            </w:pPr>
          </w:p>
        </w:tc>
        <w:tc>
          <w:tcPr>
            <w:tcW w:w="552" w:type="pct"/>
            <w:tcBorders>
              <w:top w:val="single" w:sz="8" w:space="0" w:color="auto"/>
              <w:bottom w:val="single" w:sz="8" w:space="0" w:color="auto"/>
            </w:tcBorders>
            <w:vAlign w:val="center"/>
          </w:tcPr>
          <w:p w14:paraId="1E5221A0" w14:textId="77777777" w:rsidR="00E84DF8" w:rsidRPr="00F84E67" w:rsidRDefault="00E84DF8" w:rsidP="00E84DF8">
            <w:pPr>
              <w:jc w:val="right"/>
              <w:rPr>
                <w:rFonts w:cs="Times New Roman"/>
                <w:b/>
                <w:sz w:val="20"/>
                <w:szCs w:val="20"/>
              </w:rPr>
            </w:pPr>
            <w:r w:rsidRPr="00F84E67">
              <w:rPr>
                <w:rFonts w:cs="Times New Roman"/>
                <w:b/>
                <w:sz w:val="20"/>
                <w:szCs w:val="20"/>
              </w:rPr>
              <w:t>a</w:t>
            </w:r>
          </w:p>
        </w:tc>
        <w:tc>
          <w:tcPr>
            <w:tcW w:w="551" w:type="pct"/>
            <w:tcBorders>
              <w:top w:val="single" w:sz="8" w:space="0" w:color="auto"/>
              <w:bottom w:val="single" w:sz="8" w:space="0" w:color="auto"/>
            </w:tcBorders>
            <w:vAlign w:val="center"/>
          </w:tcPr>
          <w:p w14:paraId="4FE0C86D" w14:textId="77777777" w:rsidR="00E84DF8" w:rsidRPr="00F84E67" w:rsidRDefault="00E84DF8" w:rsidP="00E84DF8">
            <w:pPr>
              <w:jc w:val="right"/>
              <w:rPr>
                <w:rFonts w:cs="Times New Roman"/>
                <w:b/>
                <w:sz w:val="20"/>
                <w:szCs w:val="20"/>
              </w:rPr>
            </w:pPr>
            <w:r w:rsidRPr="00F84E67">
              <w:rPr>
                <w:rFonts w:cs="Times New Roman"/>
                <w:b/>
                <w:sz w:val="20"/>
                <w:szCs w:val="20"/>
              </w:rPr>
              <w:t>b</w:t>
            </w:r>
          </w:p>
        </w:tc>
        <w:tc>
          <w:tcPr>
            <w:tcW w:w="714" w:type="pct"/>
            <w:tcBorders>
              <w:top w:val="single" w:sz="8" w:space="0" w:color="auto"/>
              <w:bottom w:val="single" w:sz="8" w:space="0" w:color="auto"/>
            </w:tcBorders>
            <w:vAlign w:val="center"/>
          </w:tcPr>
          <w:p w14:paraId="7D75CB25" w14:textId="77777777" w:rsidR="00E84DF8" w:rsidRPr="00F84E67" w:rsidRDefault="00E84DF8" w:rsidP="00E84DF8">
            <w:pPr>
              <w:jc w:val="right"/>
              <w:rPr>
                <w:rFonts w:cs="Times New Roman"/>
                <w:b/>
                <w:sz w:val="20"/>
                <w:szCs w:val="20"/>
              </w:rPr>
            </w:pPr>
            <w:r w:rsidRPr="00F84E67">
              <w:rPr>
                <w:rFonts w:cs="Times New Roman"/>
                <w:b/>
                <w:sz w:val="20"/>
                <w:szCs w:val="20"/>
              </w:rPr>
              <w:t>q</w:t>
            </w:r>
            <w:r w:rsidRPr="00F84E67">
              <w:rPr>
                <w:rFonts w:cs="Times New Roman"/>
                <w:b/>
                <w:sz w:val="20"/>
                <w:szCs w:val="20"/>
                <w:vertAlign w:val="subscript"/>
              </w:rPr>
              <w:t>e</w:t>
            </w:r>
            <w:r w:rsidRPr="00F84E67">
              <w:rPr>
                <w:rFonts w:cs="Times New Roman"/>
                <w:b/>
                <w:sz w:val="20"/>
                <w:szCs w:val="20"/>
              </w:rPr>
              <w:t xml:space="preserve"> (mg.g</w:t>
            </w:r>
            <w:r w:rsidRPr="00F84E67">
              <w:rPr>
                <w:rFonts w:cs="Times New Roman"/>
                <w:b/>
                <w:sz w:val="20"/>
                <w:szCs w:val="20"/>
                <w:vertAlign w:val="superscript"/>
              </w:rPr>
              <w:t>1</w:t>
            </w:r>
            <w:r w:rsidRPr="00F84E67">
              <w:rPr>
                <w:rFonts w:cs="Times New Roman"/>
                <w:b/>
                <w:sz w:val="20"/>
                <w:szCs w:val="20"/>
              </w:rPr>
              <w:t>)</w:t>
            </w:r>
          </w:p>
        </w:tc>
        <w:tc>
          <w:tcPr>
            <w:tcW w:w="713" w:type="pct"/>
            <w:tcBorders>
              <w:top w:val="single" w:sz="8" w:space="0" w:color="auto"/>
              <w:bottom w:val="single" w:sz="8" w:space="0" w:color="auto"/>
            </w:tcBorders>
            <w:vAlign w:val="center"/>
          </w:tcPr>
          <w:p w14:paraId="2AFF4A92" w14:textId="77777777" w:rsidR="00E84DF8" w:rsidRPr="00F84E67" w:rsidRDefault="00E84DF8" w:rsidP="00E84DF8">
            <w:pPr>
              <w:jc w:val="right"/>
              <w:rPr>
                <w:rFonts w:cs="Times New Roman"/>
                <w:b/>
                <w:sz w:val="20"/>
                <w:szCs w:val="20"/>
              </w:rPr>
            </w:pPr>
            <w:r w:rsidRPr="00F84E67">
              <w:rPr>
                <w:rFonts w:cs="Times New Roman"/>
                <w:b/>
                <w:sz w:val="20"/>
                <w:szCs w:val="20"/>
              </w:rPr>
              <w:t>K</w:t>
            </w:r>
            <w:r w:rsidRPr="00F84E67">
              <w:rPr>
                <w:rFonts w:cs="Times New Roman"/>
                <w:b/>
                <w:sz w:val="20"/>
                <w:szCs w:val="20"/>
                <w:vertAlign w:val="subscript"/>
              </w:rPr>
              <w:t>1</w:t>
            </w:r>
            <w:r w:rsidRPr="00F84E67">
              <w:rPr>
                <w:rFonts w:cs="Times New Roman"/>
                <w:b/>
                <w:sz w:val="20"/>
                <w:szCs w:val="20"/>
              </w:rPr>
              <w:t xml:space="preserve"> (p</w:t>
            </w:r>
            <w:r w:rsidRPr="00F84E67">
              <w:rPr>
                <w:rFonts w:cs="Times New Roman"/>
                <w:b/>
                <w:sz w:val="20"/>
                <w:szCs w:val="20"/>
                <w:vertAlign w:val="superscript"/>
              </w:rPr>
              <w:t>-1</w:t>
            </w:r>
            <w:r w:rsidRPr="00F84E67">
              <w:rPr>
                <w:rFonts w:cs="Times New Roman"/>
                <w:b/>
                <w:sz w:val="20"/>
                <w:szCs w:val="20"/>
              </w:rPr>
              <w:t>)</w:t>
            </w:r>
          </w:p>
        </w:tc>
        <w:tc>
          <w:tcPr>
            <w:tcW w:w="873" w:type="pct"/>
            <w:tcBorders>
              <w:top w:val="single" w:sz="8" w:space="0" w:color="auto"/>
              <w:bottom w:val="single" w:sz="8" w:space="0" w:color="auto"/>
            </w:tcBorders>
            <w:vAlign w:val="center"/>
          </w:tcPr>
          <w:p w14:paraId="1EDC8DE5" w14:textId="77777777" w:rsidR="00E84DF8" w:rsidRPr="00F84E67" w:rsidRDefault="00E84DF8" w:rsidP="00E84DF8">
            <w:pPr>
              <w:jc w:val="right"/>
              <w:rPr>
                <w:rFonts w:cs="Times New Roman"/>
                <w:b/>
                <w:sz w:val="20"/>
                <w:szCs w:val="20"/>
              </w:rPr>
            </w:pPr>
            <w:r w:rsidRPr="00F84E67">
              <w:rPr>
                <w:rFonts w:cs="Times New Roman"/>
                <w:b/>
                <w:sz w:val="20"/>
                <w:szCs w:val="20"/>
              </w:rPr>
              <w:t>K</w:t>
            </w:r>
            <w:r w:rsidRPr="00F84E67">
              <w:rPr>
                <w:rFonts w:cs="Times New Roman"/>
                <w:b/>
                <w:sz w:val="20"/>
                <w:szCs w:val="20"/>
                <w:vertAlign w:val="subscript"/>
              </w:rPr>
              <w:t>2</w:t>
            </w:r>
            <w:r w:rsidRPr="00F84E67">
              <w:rPr>
                <w:rFonts w:cs="Times New Roman"/>
                <w:b/>
                <w:sz w:val="20"/>
                <w:szCs w:val="20"/>
              </w:rPr>
              <w:t xml:space="preserve"> (g.mg</w:t>
            </w:r>
            <w:r w:rsidRPr="00F84E67">
              <w:rPr>
                <w:rFonts w:cs="Times New Roman"/>
                <w:b/>
                <w:sz w:val="20"/>
                <w:szCs w:val="20"/>
                <w:vertAlign w:val="superscript"/>
              </w:rPr>
              <w:t>-1</w:t>
            </w:r>
            <w:r w:rsidRPr="00F84E67">
              <w:rPr>
                <w:rFonts w:cs="Times New Roman"/>
                <w:b/>
                <w:sz w:val="20"/>
                <w:szCs w:val="20"/>
              </w:rPr>
              <w:t>.p</w:t>
            </w:r>
            <w:r w:rsidRPr="00F84E67">
              <w:rPr>
                <w:rFonts w:cs="Times New Roman"/>
                <w:b/>
                <w:sz w:val="20"/>
                <w:szCs w:val="20"/>
                <w:vertAlign w:val="superscript"/>
              </w:rPr>
              <w:t>-1</w:t>
            </w:r>
            <w:r w:rsidRPr="00F84E67">
              <w:rPr>
                <w:rFonts w:cs="Times New Roman"/>
                <w:b/>
                <w:sz w:val="20"/>
                <w:szCs w:val="20"/>
              </w:rPr>
              <w:t>)</w:t>
            </w:r>
          </w:p>
        </w:tc>
        <w:tc>
          <w:tcPr>
            <w:tcW w:w="655" w:type="pct"/>
            <w:tcBorders>
              <w:top w:val="single" w:sz="8" w:space="0" w:color="auto"/>
              <w:bottom w:val="single" w:sz="8" w:space="0" w:color="auto"/>
            </w:tcBorders>
            <w:vAlign w:val="center"/>
          </w:tcPr>
          <w:p w14:paraId="0E3C4F47" w14:textId="77777777" w:rsidR="00E84DF8" w:rsidRPr="00F84E67" w:rsidRDefault="00E84DF8" w:rsidP="00E84DF8">
            <w:pPr>
              <w:jc w:val="right"/>
              <w:rPr>
                <w:rFonts w:cs="Times New Roman"/>
                <w:b/>
                <w:sz w:val="20"/>
                <w:szCs w:val="20"/>
              </w:rPr>
            </w:pPr>
            <w:r w:rsidRPr="00F84E67">
              <w:rPr>
                <w:rFonts w:cs="Times New Roman"/>
                <w:b/>
                <w:sz w:val="20"/>
                <w:szCs w:val="20"/>
              </w:rPr>
              <w:t>R</w:t>
            </w:r>
            <w:r w:rsidRPr="00F84E67">
              <w:rPr>
                <w:rFonts w:cs="Times New Roman"/>
                <w:b/>
                <w:sz w:val="20"/>
                <w:szCs w:val="20"/>
                <w:vertAlign w:val="superscript"/>
              </w:rPr>
              <w:t>2</w:t>
            </w:r>
          </w:p>
        </w:tc>
      </w:tr>
      <w:tr w:rsidR="00E84DF8" w:rsidRPr="00F84E67" w14:paraId="4A83ACE5" w14:textId="77777777" w:rsidTr="00702190">
        <w:trPr>
          <w:trHeight w:val="40"/>
        </w:trPr>
        <w:tc>
          <w:tcPr>
            <w:tcW w:w="943" w:type="pct"/>
            <w:tcBorders>
              <w:top w:val="single" w:sz="8" w:space="0" w:color="auto"/>
            </w:tcBorders>
          </w:tcPr>
          <w:p w14:paraId="10E06B72" w14:textId="77777777" w:rsidR="00E84DF8" w:rsidRPr="005B7739" w:rsidRDefault="00E84DF8" w:rsidP="003D0EE0">
            <w:pPr>
              <w:jc w:val="center"/>
              <w:rPr>
                <w:rFonts w:cs="Times New Roman"/>
                <w:bCs/>
                <w:sz w:val="20"/>
                <w:szCs w:val="20"/>
              </w:rPr>
            </w:pPr>
            <w:r w:rsidRPr="005B7739">
              <w:rPr>
                <w:rFonts w:cs="Times New Roman"/>
                <w:bCs/>
                <w:sz w:val="20"/>
                <w:szCs w:val="20"/>
              </w:rPr>
              <w:t>1</w:t>
            </w:r>
            <w:r w:rsidRPr="005B7739">
              <w:rPr>
                <w:rFonts w:cs="Times New Roman"/>
                <w:bCs/>
                <w:sz w:val="20"/>
                <w:szCs w:val="20"/>
                <w:vertAlign w:val="superscript"/>
              </w:rPr>
              <w:t>st</w:t>
            </w:r>
            <w:r w:rsidRPr="005B7739">
              <w:rPr>
                <w:rFonts w:cs="Times New Roman"/>
                <w:bCs/>
                <w:sz w:val="20"/>
                <w:szCs w:val="20"/>
              </w:rPr>
              <w:t xml:space="preserve"> order Eq</w:t>
            </w:r>
          </w:p>
        </w:tc>
        <w:tc>
          <w:tcPr>
            <w:tcW w:w="552" w:type="pct"/>
            <w:tcBorders>
              <w:top w:val="single" w:sz="8" w:space="0" w:color="auto"/>
            </w:tcBorders>
            <w:vAlign w:val="center"/>
          </w:tcPr>
          <w:p w14:paraId="0C86A798" w14:textId="77777777" w:rsidR="00E84DF8" w:rsidRPr="00F84E67" w:rsidRDefault="00E84DF8" w:rsidP="00E84DF8">
            <w:pPr>
              <w:jc w:val="right"/>
              <w:rPr>
                <w:rFonts w:cs="Times New Roman"/>
                <w:sz w:val="20"/>
                <w:szCs w:val="20"/>
              </w:rPr>
            </w:pPr>
            <w:r w:rsidRPr="00F84E67">
              <w:rPr>
                <w:rFonts w:cs="Times New Roman"/>
                <w:sz w:val="20"/>
                <w:szCs w:val="20"/>
              </w:rPr>
              <w:t>-0.0026</w:t>
            </w:r>
          </w:p>
        </w:tc>
        <w:tc>
          <w:tcPr>
            <w:tcW w:w="551" w:type="pct"/>
            <w:tcBorders>
              <w:top w:val="single" w:sz="8" w:space="0" w:color="auto"/>
            </w:tcBorders>
            <w:vAlign w:val="center"/>
          </w:tcPr>
          <w:p w14:paraId="24D82805" w14:textId="77777777" w:rsidR="00E84DF8" w:rsidRPr="00F84E67" w:rsidRDefault="00E84DF8" w:rsidP="00E84DF8">
            <w:pPr>
              <w:jc w:val="right"/>
              <w:rPr>
                <w:rFonts w:cs="Times New Roman"/>
                <w:sz w:val="20"/>
                <w:szCs w:val="20"/>
              </w:rPr>
            </w:pPr>
            <w:r w:rsidRPr="00F84E67">
              <w:rPr>
                <w:rFonts w:cs="Times New Roman"/>
                <w:sz w:val="20"/>
                <w:szCs w:val="20"/>
              </w:rPr>
              <w:t>2.1961</w:t>
            </w:r>
          </w:p>
        </w:tc>
        <w:tc>
          <w:tcPr>
            <w:tcW w:w="714" w:type="pct"/>
            <w:tcBorders>
              <w:top w:val="single" w:sz="8" w:space="0" w:color="auto"/>
            </w:tcBorders>
            <w:vAlign w:val="center"/>
          </w:tcPr>
          <w:p w14:paraId="13840B54" w14:textId="77777777" w:rsidR="00E84DF8" w:rsidRPr="00F84E67" w:rsidRDefault="00E84DF8" w:rsidP="00E84DF8">
            <w:pPr>
              <w:jc w:val="right"/>
              <w:rPr>
                <w:rFonts w:cs="Times New Roman"/>
                <w:sz w:val="20"/>
                <w:szCs w:val="20"/>
              </w:rPr>
            </w:pPr>
            <w:r w:rsidRPr="00F84E67">
              <w:rPr>
                <w:rFonts w:cs="Times New Roman"/>
                <w:sz w:val="20"/>
                <w:szCs w:val="20"/>
              </w:rPr>
              <w:t>8.989</w:t>
            </w:r>
          </w:p>
        </w:tc>
        <w:tc>
          <w:tcPr>
            <w:tcW w:w="713" w:type="pct"/>
            <w:tcBorders>
              <w:top w:val="single" w:sz="8" w:space="0" w:color="auto"/>
            </w:tcBorders>
            <w:vAlign w:val="center"/>
          </w:tcPr>
          <w:p w14:paraId="4BB3623E" w14:textId="77777777" w:rsidR="00E84DF8" w:rsidRPr="00F84E67" w:rsidRDefault="00E84DF8" w:rsidP="00E84DF8">
            <w:pPr>
              <w:jc w:val="right"/>
              <w:rPr>
                <w:rFonts w:cs="Times New Roman"/>
                <w:sz w:val="20"/>
                <w:szCs w:val="20"/>
              </w:rPr>
            </w:pPr>
            <w:r w:rsidRPr="00F84E67">
              <w:rPr>
                <w:rFonts w:cs="Times New Roman"/>
                <w:sz w:val="20"/>
                <w:szCs w:val="20"/>
              </w:rPr>
              <w:t>0.0026</w:t>
            </w:r>
          </w:p>
        </w:tc>
        <w:tc>
          <w:tcPr>
            <w:tcW w:w="873" w:type="pct"/>
            <w:tcBorders>
              <w:top w:val="single" w:sz="8" w:space="0" w:color="auto"/>
            </w:tcBorders>
            <w:vAlign w:val="center"/>
          </w:tcPr>
          <w:p w14:paraId="3BCCBE5D" w14:textId="77777777" w:rsidR="00E84DF8" w:rsidRPr="00F84E67" w:rsidRDefault="00E84DF8" w:rsidP="00E84DF8">
            <w:pPr>
              <w:jc w:val="right"/>
              <w:rPr>
                <w:rFonts w:cs="Times New Roman"/>
                <w:sz w:val="20"/>
                <w:szCs w:val="20"/>
              </w:rPr>
            </w:pPr>
            <w:r w:rsidRPr="00F84E67">
              <w:rPr>
                <w:rFonts w:cs="Times New Roman"/>
                <w:sz w:val="20"/>
                <w:szCs w:val="20"/>
              </w:rPr>
              <w:t>_</w:t>
            </w:r>
          </w:p>
        </w:tc>
        <w:tc>
          <w:tcPr>
            <w:tcW w:w="655" w:type="pct"/>
            <w:tcBorders>
              <w:top w:val="single" w:sz="8" w:space="0" w:color="auto"/>
            </w:tcBorders>
            <w:vAlign w:val="center"/>
          </w:tcPr>
          <w:p w14:paraId="38AFC775" w14:textId="77777777" w:rsidR="00E84DF8" w:rsidRPr="00F84E67" w:rsidRDefault="00E84DF8" w:rsidP="00E84DF8">
            <w:pPr>
              <w:jc w:val="right"/>
              <w:rPr>
                <w:rFonts w:cs="Times New Roman"/>
                <w:sz w:val="20"/>
                <w:szCs w:val="20"/>
              </w:rPr>
            </w:pPr>
            <w:r w:rsidRPr="00F84E67">
              <w:rPr>
                <w:rFonts w:cs="Times New Roman"/>
                <w:sz w:val="20"/>
                <w:szCs w:val="20"/>
              </w:rPr>
              <w:t>0.7598</w:t>
            </w:r>
          </w:p>
        </w:tc>
      </w:tr>
      <w:tr w:rsidR="00E84DF8" w:rsidRPr="00F84E67" w14:paraId="3E87A5FB" w14:textId="77777777" w:rsidTr="00702190">
        <w:trPr>
          <w:trHeight w:val="60"/>
        </w:trPr>
        <w:tc>
          <w:tcPr>
            <w:tcW w:w="943" w:type="pct"/>
            <w:tcBorders>
              <w:bottom w:val="single" w:sz="8" w:space="0" w:color="auto"/>
            </w:tcBorders>
          </w:tcPr>
          <w:p w14:paraId="388C9B6B" w14:textId="77777777" w:rsidR="00E84DF8" w:rsidRPr="005B7739" w:rsidRDefault="00E84DF8" w:rsidP="003D0EE0">
            <w:pPr>
              <w:jc w:val="center"/>
              <w:rPr>
                <w:rFonts w:cs="Times New Roman"/>
                <w:bCs/>
                <w:sz w:val="20"/>
                <w:szCs w:val="20"/>
              </w:rPr>
            </w:pPr>
            <w:r w:rsidRPr="005B7739">
              <w:rPr>
                <w:rFonts w:cs="Times New Roman"/>
                <w:bCs/>
                <w:sz w:val="20"/>
                <w:szCs w:val="20"/>
              </w:rPr>
              <w:t>2</w:t>
            </w:r>
            <w:r w:rsidRPr="005B7739">
              <w:rPr>
                <w:rFonts w:cs="Times New Roman"/>
                <w:bCs/>
                <w:sz w:val="20"/>
                <w:szCs w:val="20"/>
                <w:vertAlign w:val="superscript"/>
              </w:rPr>
              <w:t>st</w:t>
            </w:r>
            <w:r w:rsidRPr="005B7739">
              <w:rPr>
                <w:rFonts w:cs="Times New Roman"/>
                <w:bCs/>
                <w:sz w:val="20"/>
                <w:szCs w:val="20"/>
              </w:rPr>
              <w:t xml:space="preserve"> order Eq</w:t>
            </w:r>
          </w:p>
        </w:tc>
        <w:tc>
          <w:tcPr>
            <w:tcW w:w="552" w:type="pct"/>
            <w:tcBorders>
              <w:bottom w:val="single" w:sz="8" w:space="0" w:color="auto"/>
            </w:tcBorders>
            <w:vAlign w:val="center"/>
          </w:tcPr>
          <w:p w14:paraId="053323A1" w14:textId="77777777" w:rsidR="00E84DF8" w:rsidRPr="00F84E67" w:rsidRDefault="00E84DF8" w:rsidP="00E84DF8">
            <w:pPr>
              <w:jc w:val="right"/>
              <w:rPr>
                <w:rFonts w:cs="Times New Roman"/>
                <w:sz w:val="20"/>
                <w:szCs w:val="20"/>
              </w:rPr>
            </w:pPr>
            <w:r w:rsidRPr="00F84E67">
              <w:rPr>
                <w:rFonts w:cs="Times New Roman"/>
                <w:sz w:val="20"/>
                <w:szCs w:val="20"/>
              </w:rPr>
              <w:t>0.05</w:t>
            </w:r>
          </w:p>
        </w:tc>
        <w:tc>
          <w:tcPr>
            <w:tcW w:w="551" w:type="pct"/>
            <w:tcBorders>
              <w:bottom w:val="single" w:sz="8" w:space="0" w:color="auto"/>
            </w:tcBorders>
            <w:vAlign w:val="center"/>
          </w:tcPr>
          <w:p w14:paraId="15EA7D1B" w14:textId="77777777" w:rsidR="00E84DF8" w:rsidRPr="00F84E67" w:rsidRDefault="00E84DF8" w:rsidP="00E84DF8">
            <w:pPr>
              <w:jc w:val="right"/>
              <w:rPr>
                <w:rFonts w:cs="Times New Roman"/>
                <w:sz w:val="20"/>
                <w:szCs w:val="20"/>
              </w:rPr>
            </w:pPr>
            <w:r w:rsidRPr="00F84E67">
              <w:rPr>
                <w:rFonts w:cs="Times New Roman"/>
                <w:sz w:val="20"/>
                <w:szCs w:val="20"/>
              </w:rPr>
              <w:t>6.1622</w:t>
            </w:r>
          </w:p>
        </w:tc>
        <w:tc>
          <w:tcPr>
            <w:tcW w:w="714" w:type="pct"/>
            <w:tcBorders>
              <w:bottom w:val="single" w:sz="8" w:space="0" w:color="auto"/>
            </w:tcBorders>
            <w:vAlign w:val="center"/>
          </w:tcPr>
          <w:p w14:paraId="5FCE2F53" w14:textId="77777777" w:rsidR="00E84DF8" w:rsidRPr="00F84E67" w:rsidRDefault="00E84DF8" w:rsidP="00E84DF8">
            <w:pPr>
              <w:jc w:val="right"/>
              <w:rPr>
                <w:rFonts w:cs="Times New Roman"/>
                <w:sz w:val="20"/>
                <w:szCs w:val="20"/>
              </w:rPr>
            </w:pPr>
            <w:r w:rsidRPr="00F84E67">
              <w:rPr>
                <w:rFonts w:cs="Times New Roman"/>
                <w:sz w:val="20"/>
                <w:szCs w:val="20"/>
              </w:rPr>
              <w:t>20.000</w:t>
            </w:r>
          </w:p>
        </w:tc>
        <w:tc>
          <w:tcPr>
            <w:tcW w:w="713" w:type="pct"/>
            <w:tcBorders>
              <w:bottom w:val="single" w:sz="8" w:space="0" w:color="auto"/>
            </w:tcBorders>
            <w:vAlign w:val="center"/>
          </w:tcPr>
          <w:p w14:paraId="03FA7E0A" w14:textId="77777777" w:rsidR="00E84DF8" w:rsidRPr="00F84E67" w:rsidRDefault="00E84DF8" w:rsidP="00E84DF8">
            <w:pPr>
              <w:jc w:val="right"/>
              <w:rPr>
                <w:rFonts w:cs="Times New Roman"/>
                <w:sz w:val="20"/>
                <w:szCs w:val="20"/>
              </w:rPr>
            </w:pPr>
            <w:r w:rsidRPr="00F84E67">
              <w:rPr>
                <w:rFonts w:cs="Times New Roman"/>
                <w:sz w:val="20"/>
                <w:szCs w:val="20"/>
              </w:rPr>
              <w:t>_</w:t>
            </w:r>
          </w:p>
        </w:tc>
        <w:tc>
          <w:tcPr>
            <w:tcW w:w="873" w:type="pct"/>
            <w:tcBorders>
              <w:bottom w:val="single" w:sz="8" w:space="0" w:color="auto"/>
            </w:tcBorders>
            <w:vAlign w:val="center"/>
          </w:tcPr>
          <w:p w14:paraId="3BC1F4EA" w14:textId="77777777" w:rsidR="00E84DF8" w:rsidRPr="00F84E67" w:rsidRDefault="00E84DF8" w:rsidP="00E84DF8">
            <w:pPr>
              <w:jc w:val="right"/>
              <w:rPr>
                <w:rFonts w:cs="Times New Roman"/>
                <w:sz w:val="20"/>
                <w:szCs w:val="20"/>
              </w:rPr>
            </w:pPr>
            <w:r w:rsidRPr="00F84E67">
              <w:rPr>
                <w:rFonts w:cs="Times New Roman"/>
                <w:sz w:val="20"/>
                <w:szCs w:val="20"/>
              </w:rPr>
              <w:t>0.000406</w:t>
            </w:r>
          </w:p>
        </w:tc>
        <w:tc>
          <w:tcPr>
            <w:tcW w:w="655" w:type="pct"/>
            <w:tcBorders>
              <w:bottom w:val="single" w:sz="8" w:space="0" w:color="auto"/>
            </w:tcBorders>
            <w:vAlign w:val="center"/>
          </w:tcPr>
          <w:p w14:paraId="1ADD8017" w14:textId="77777777" w:rsidR="00E84DF8" w:rsidRPr="00F84E67" w:rsidRDefault="00E84DF8" w:rsidP="00E84DF8">
            <w:pPr>
              <w:jc w:val="right"/>
              <w:rPr>
                <w:rFonts w:cs="Times New Roman"/>
                <w:sz w:val="20"/>
                <w:szCs w:val="20"/>
              </w:rPr>
            </w:pPr>
            <w:r w:rsidRPr="00F84E67">
              <w:rPr>
                <w:rFonts w:cs="Times New Roman"/>
                <w:sz w:val="20"/>
                <w:szCs w:val="20"/>
              </w:rPr>
              <w:t>0.9925</w:t>
            </w:r>
          </w:p>
        </w:tc>
      </w:tr>
    </w:tbl>
    <w:p w14:paraId="74F76DCA" w14:textId="77777777" w:rsidR="00E84DF8" w:rsidRPr="00DD3810" w:rsidRDefault="00E84DF8" w:rsidP="00DD3810">
      <w:pPr>
        <w:rPr>
          <w:sz w:val="4"/>
          <w:szCs w:val="4"/>
        </w:rPr>
        <w:sectPr w:rsidR="00E84DF8" w:rsidRPr="00DD3810" w:rsidSect="00E84DF8">
          <w:type w:val="continuous"/>
          <w:pgSz w:w="10773" w:h="15309" w:code="150"/>
          <w:pgMar w:top="1418" w:right="1021" w:bottom="1418" w:left="1021" w:header="851" w:footer="851" w:gutter="0"/>
          <w:cols w:space="454"/>
          <w:docGrid w:linePitch="360"/>
        </w:sectPr>
      </w:pPr>
    </w:p>
    <w:p w14:paraId="533BD5E5" w14:textId="77777777" w:rsidR="00E84DF8" w:rsidRPr="00F84E67" w:rsidRDefault="00E84DF8" w:rsidP="00E84DF8">
      <w:pPr>
        <w:pStyle w:val="Heading2"/>
      </w:pPr>
      <w:r w:rsidRPr="00F84E67">
        <w:t>Isothermal models</w:t>
      </w:r>
    </w:p>
    <w:p w14:paraId="3989813E" w14:textId="77777777" w:rsidR="00E84DF8" w:rsidRPr="00F84E67" w:rsidRDefault="00E84DF8" w:rsidP="00E84DF8">
      <w:pPr>
        <w:pStyle w:val="Text"/>
        <w:rPr>
          <w:lang w:val="vi-VN"/>
        </w:rPr>
      </w:pPr>
      <w:r w:rsidRPr="00F84E67">
        <w:t>I</w:t>
      </w:r>
      <w:r w:rsidRPr="00F84E67">
        <w:rPr>
          <w:lang w:val="vi-VN"/>
        </w:rPr>
        <w:t>sotherm adsorption equations</w:t>
      </w:r>
      <w:r w:rsidRPr="00F84E67">
        <w:t xml:space="preserve"> are shown in Figure 12. The </w:t>
      </w:r>
      <w:r w:rsidRPr="00F84E67">
        <w:rPr>
          <w:lang w:val="vi-VN"/>
        </w:rPr>
        <w:t>Freundlich</w:t>
      </w:r>
      <w:r w:rsidRPr="00F84E67">
        <w:t xml:space="preserve"> model was suitable with a </w:t>
      </w:r>
      <w:r w:rsidRPr="00F84E67">
        <w:rPr>
          <w:lang w:val="vi-VN"/>
        </w:rPr>
        <w:t>linear regression coefficient R</w:t>
      </w:r>
      <w:r w:rsidRPr="00F84E67">
        <w:rPr>
          <w:vertAlign w:val="superscript"/>
          <w:lang w:val="vi-VN"/>
        </w:rPr>
        <w:t>2</w:t>
      </w:r>
      <w:r w:rsidRPr="00F84E67">
        <w:rPr>
          <w:vertAlign w:val="superscript"/>
        </w:rPr>
        <w:t xml:space="preserve"> </w:t>
      </w:r>
      <w:r w:rsidRPr="00F84E67">
        <w:t xml:space="preserve">of </w:t>
      </w:r>
      <w:r w:rsidRPr="00F84E67">
        <w:rPr>
          <w:lang w:val="vi-VN"/>
        </w:rPr>
        <w:t>0.9946.</w:t>
      </w:r>
      <w:r w:rsidRPr="00F84E67">
        <w:t xml:space="preserve"> T</w:t>
      </w:r>
      <w:r w:rsidRPr="00F84E67">
        <w:rPr>
          <w:lang w:val="vi-VN"/>
        </w:rPr>
        <w:t xml:space="preserve">he graph showing the </w:t>
      </w:r>
      <w:r w:rsidRPr="00F84E67">
        <w:t>relation</w:t>
      </w:r>
      <w:r w:rsidRPr="00F84E67">
        <w:rPr>
          <w:lang w:val="vi-VN"/>
        </w:rPr>
        <w:t xml:space="preserve"> of log(C</w:t>
      </w:r>
      <w:r w:rsidRPr="00F84E67">
        <w:rPr>
          <w:vertAlign w:val="subscript"/>
          <w:lang w:val="vi-VN"/>
        </w:rPr>
        <w:t>e</w:t>
      </w:r>
      <w:r w:rsidRPr="00F84E67">
        <w:rPr>
          <w:lang w:val="vi-VN"/>
        </w:rPr>
        <w:t>) on log(q</w:t>
      </w:r>
      <w:r w:rsidRPr="00F84E67">
        <w:rPr>
          <w:vertAlign w:val="subscript"/>
          <w:lang w:val="vi-VN"/>
        </w:rPr>
        <w:t>e</w:t>
      </w:r>
      <w:r w:rsidRPr="00F84E67">
        <w:rPr>
          <w:lang w:val="vi-VN"/>
        </w:rPr>
        <w:t>) of MB, Freundlich isotherm constants</w:t>
      </w:r>
      <w:r w:rsidRPr="00F84E67">
        <w:t xml:space="preserve"> was </w:t>
      </w:r>
      <w:r w:rsidRPr="00F84E67">
        <w:rPr>
          <w:lang w:val="vi-VN"/>
        </w:rPr>
        <w:t>1.31</w:t>
      </w:r>
      <w:r w:rsidRPr="00F84E67">
        <w:t xml:space="preserve">, which was suitable for </w:t>
      </w:r>
      <w:r w:rsidRPr="00F84E67">
        <w:rPr>
          <w:lang w:val="vi-VN"/>
        </w:rPr>
        <w:t>liquid-solid adsorption system with</w:t>
      </w:r>
      <w:r w:rsidRPr="00F84E67">
        <w:t xml:space="preserve"> </w:t>
      </w:r>
      <w:r w:rsidRPr="00F84E67">
        <w:t>theoretical heterogeneity degree</w:t>
      </w:r>
      <w:r w:rsidRPr="00F84E67">
        <w:rPr>
          <w:lang w:val="vi-VN"/>
        </w:rPr>
        <w:t xml:space="preserve"> ​​between 1 to 10. </w:t>
      </w:r>
      <w:r w:rsidRPr="00F84E67">
        <w:t>Besides that, FGP-3 adsorption</w:t>
      </w:r>
      <w:r w:rsidRPr="00F84E67">
        <w:rPr>
          <w:lang w:val="vi-VN"/>
        </w:rPr>
        <w:t xml:space="preserve"> follow</w:t>
      </w:r>
      <w:r w:rsidRPr="00F84E67">
        <w:t xml:space="preserve">ing </w:t>
      </w:r>
      <w:r w:rsidRPr="00F84E67">
        <w:rPr>
          <w:lang w:val="vi-VN"/>
        </w:rPr>
        <w:t>the Freundlich adsorption isotherm equation</w:t>
      </w:r>
      <w:r w:rsidRPr="00F84E67">
        <w:t xml:space="preserve"> was </w:t>
      </w:r>
      <w:r w:rsidRPr="00F84E67">
        <w:rPr>
          <w:lang w:val="vi-VN"/>
        </w:rPr>
        <w:t>reversible, the adsorption energy on the surface</w:t>
      </w:r>
      <w:r w:rsidRPr="00F84E67">
        <w:t xml:space="preserve"> adsorbents</w:t>
      </w:r>
      <w:r w:rsidRPr="00F84E67">
        <w:rPr>
          <w:lang w:val="vi-VN"/>
        </w:rPr>
        <w:t xml:space="preserve"> </w:t>
      </w:r>
      <w:r w:rsidRPr="00F84E67">
        <w:t>was not</w:t>
      </w:r>
      <w:r w:rsidRPr="00F84E67">
        <w:rPr>
          <w:lang w:val="vi-VN"/>
        </w:rPr>
        <w:t xml:space="preserve"> uniform, there </w:t>
      </w:r>
      <w:r w:rsidRPr="00F84E67">
        <w:t>was</w:t>
      </w:r>
      <w:r w:rsidRPr="00F84E67">
        <w:rPr>
          <w:lang w:val="vi-VN"/>
        </w:rPr>
        <w:t xml:space="preserve"> mutual interaction between the adsorbed molecules and </w:t>
      </w:r>
      <w:r w:rsidRPr="00F84E67">
        <w:t>adsorbents</w:t>
      </w:r>
      <w:r w:rsidRPr="00F84E67">
        <w:rPr>
          <w:lang w:val="vi-VN"/>
        </w:rPr>
        <w:t xml:space="preserve"> can be multilayer adsorption.</w:t>
      </w:r>
    </w:p>
    <w:p w14:paraId="705914EE" w14:textId="77777777" w:rsidR="00424515" w:rsidRDefault="00424515" w:rsidP="00E84DF8">
      <w:pPr>
        <w:pStyle w:val="Text"/>
        <w:spacing w:before="0" w:after="0"/>
        <w:rPr>
          <w:rFonts w:eastAsiaTheme="minorEastAsia" w:cs="Times New Roman"/>
          <w:szCs w:val="20"/>
        </w:rPr>
        <w:sectPr w:rsidR="00424515" w:rsidSect="000E0E50">
          <w:type w:val="continuous"/>
          <w:pgSz w:w="10773" w:h="15309" w:code="150"/>
          <w:pgMar w:top="1418" w:right="1021" w:bottom="1418" w:left="1021" w:header="851" w:footer="851" w:gutter="0"/>
          <w:cols w:num="2" w:space="454"/>
          <w:docGrid w:linePitch="360"/>
        </w:sectPr>
      </w:pP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8647"/>
      </w:tblGrid>
      <w:tr w:rsidR="00E84DF8" w:rsidRPr="00F84E67" w14:paraId="5AEE1AA2" w14:textId="77777777" w:rsidTr="00424515">
        <w:tc>
          <w:tcPr>
            <w:tcW w:w="8647" w:type="dxa"/>
          </w:tcPr>
          <w:p w14:paraId="6B2FF333" w14:textId="62B0E4D3" w:rsidR="00E84DF8" w:rsidRPr="00F84E67" w:rsidRDefault="00E84DF8" w:rsidP="00E84DF8">
            <w:pPr>
              <w:pStyle w:val="Text"/>
              <w:spacing w:before="0" w:after="0"/>
              <w:rPr>
                <w:rFonts w:eastAsiaTheme="minorEastAsia" w:cs="Times New Roman"/>
                <w:szCs w:val="20"/>
              </w:rPr>
            </w:pPr>
            <w:r w:rsidRPr="00F84E67">
              <w:rPr>
                <w:rFonts w:cs="Times New Roman"/>
                <w:noProof/>
                <w:szCs w:val="20"/>
              </w:rPr>
              <w:drawing>
                <wp:inline distT="0" distB="0" distL="0" distR="0" wp14:anchorId="02487E9E" wp14:editId="459B7ED9">
                  <wp:extent cx="2597150" cy="1637969"/>
                  <wp:effectExtent l="0" t="0" r="0" b="635"/>
                  <wp:docPr id="76" name="Chart 76">
                    <a:extLst xmlns:a="http://schemas.openxmlformats.org/drawingml/2006/main">
                      <a:ext uri="{FF2B5EF4-FFF2-40B4-BE49-F238E27FC236}">
                        <a16:creationId xmlns:a16="http://schemas.microsoft.com/office/drawing/2014/main" id="{00000000-0008-0000-06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424515" w:rsidRPr="00F84E67">
              <w:rPr>
                <w:rFonts w:cs="Times New Roman"/>
                <w:b/>
                <w:bCs w:val="0"/>
                <w:noProof/>
                <w:szCs w:val="20"/>
              </w:rPr>
              <w:drawing>
                <wp:inline distT="0" distB="0" distL="0" distR="0" wp14:anchorId="374756FB" wp14:editId="46E0BD57">
                  <wp:extent cx="2607945" cy="1558290"/>
                  <wp:effectExtent l="0" t="0" r="1905" b="3810"/>
                  <wp:docPr id="7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991D6E7" w14:textId="18FA7E71" w:rsidR="00E84DF8" w:rsidRPr="00F84E67" w:rsidRDefault="00E84DF8" w:rsidP="003D0EE0">
            <w:pPr>
              <w:pStyle w:val="Text"/>
              <w:spacing w:before="0" w:after="0"/>
              <w:jc w:val="center"/>
              <w:rPr>
                <w:rFonts w:eastAsiaTheme="minorEastAsia" w:cs="Times New Roman"/>
                <w:b/>
                <w:bCs w:val="0"/>
                <w:szCs w:val="20"/>
              </w:rPr>
            </w:pPr>
            <w:r w:rsidRPr="00F84E67">
              <w:rPr>
                <w:rFonts w:eastAsiaTheme="minorEastAsia" w:cs="Times New Roman"/>
                <w:b/>
                <w:bCs w:val="0"/>
                <w:szCs w:val="20"/>
              </w:rPr>
              <w:t>(a)</w:t>
            </w:r>
            <w:r w:rsidR="00424515" w:rsidRPr="00F84E67">
              <w:rPr>
                <w:rFonts w:eastAsiaTheme="minorEastAsia" w:cs="Times New Roman"/>
                <w:b/>
                <w:bCs w:val="0"/>
                <w:szCs w:val="20"/>
              </w:rPr>
              <w:t xml:space="preserve"> </w:t>
            </w:r>
            <w:r w:rsidR="00424515">
              <w:rPr>
                <w:rFonts w:eastAsiaTheme="minorEastAsia" w:cs="Times New Roman"/>
                <w:b/>
                <w:bCs w:val="0"/>
                <w:szCs w:val="20"/>
              </w:rPr>
              <w:t xml:space="preserve">                                                                                     </w:t>
            </w:r>
            <w:r w:rsidR="00424515" w:rsidRPr="00F84E67">
              <w:rPr>
                <w:rFonts w:eastAsiaTheme="minorEastAsia" w:cs="Times New Roman"/>
                <w:b/>
                <w:bCs w:val="0"/>
                <w:szCs w:val="20"/>
              </w:rPr>
              <w:t>(b)</w:t>
            </w:r>
          </w:p>
        </w:tc>
      </w:tr>
    </w:tbl>
    <w:p w14:paraId="73D06F0F" w14:textId="77777777" w:rsidR="005176A2" w:rsidRDefault="00E84DF8" w:rsidP="00E84DF8">
      <w:pPr>
        <w:pStyle w:val="FigureTitlte"/>
      </w:pPr>
      <w:r w:rsidRPr="00F84E67">
        <w:t>Figure 12. The isotherm adsorption curves according to (a) Langmuir (b) Freundlich models.</w:t>
      </w:r>
    </w:p>
    <w:p w14:paraId="2484EEBD" w14:textId="77777777" w:rsidR="00424515" w:rsidRDefault="00424515" w:rsidP="00E84DF8">
      <w:pPr>
        <w:pStyle w:val="Text"/>
        <w:rPr>
          <w:lang w:val="vi-VN"/>
        </w:rPr>
        <w:sectPr w:rsidR="00424515" w:rsidSect="00424515">
          <w:type w:val="continuous"/>
          <w:pgSz w:w="10773" w:h="15309" w:code="150"/>
          <w:pgMar w:top="1418" w:right="1021" w:bottom="1418" w:left="1021" w:header="851" w:footer="851" w:gutter="0"/>
          <w:cols w:space="454"/>
          <w:docGrid w:linePitch="360"/>
        </w:sectPr>
      </w:pPr>
    </w:p>
    <w:p w14:paraId="1E419461" w14:textId="77777777" w:rsidR="00E84DF8" w:rsidRDefault="00E84DF8" w:rsidP="00E84DF8">
      <w:pPr>
        <w:pStyle w:val="Text"/>
        <w:rPr>
          <w:lang w:val="vi-VN"/>
        </w:rPr>
      </w:pPr>
      <w:r w:rsidRPr="00F84E67">
        <w:rPr>
          <w:lang w:val="vi-VN"/>
        </w:rPr>
        <w:t xml:space="preserve">In order to understand the nature of the MB adsorption </w:t>
      </w:r>
      <w:r w:rsidRPr="00E84DF8">
        <w:t>process</w:t>
      </w:r>
      <w:r w:rsidRPr="00F84E67">
        <w:rPr>
          <w:lang w:val="vi-VN"/>
        </w:rPr>
        <w:t xml:space="preserve"> as physical or chemical adsorption, the D-R isothermal adsorption model was applied.</w:t>
      </w:r>
    </w:p>
    <w:p w14:paraId="54E5FF84" w14:textId="77777777" w:rsidR="00E84DF8" w:rsidRDefault="00E84DF8" w:rsidP="00E84DF8">
      <w:pPr>
        <w:pStyle w:val="Text"/>
      </w:pPr>
      <w:r w:rsidRPr="00F84E67">
        <w:rPr>
          <w:rFonts w:eastAsiaTheme="minorEastAsia"/>
        </w:rPr>
        <w:t>The graph shows that the relation between lnq</w:t>
      </w:r>
      <w:r w:rsidRPr="00F84E67">
        <w:rPr>
          <w:rFonts w:eastAsiaTheme="minorEastAsia"/>
          <w:vertAlign w:val="subscript"/>
        </w:rPr>
        <w:t>e</w:t>
      </w:r>
      <w:r w:rsidRPr="00F84E67">
        <w:rPr>
          <w:rFonts w:eastAsiaTheme="minorEastAsia"/>
        </w:rPr>
        <w:t xml:space="preserve"> and  </w:t>
      </w:r>
      <w:r w:rsidRPr="00F84E67">
        <w:sym w:font="Symbol" w:char="F065"/>
      </w:r>
      <w:r w:rsidRPr="00F84E67">
        <w:rPr>
          <w:vertAlign w:val="superscript"/>
        </w:rPr>
        <w:t xml:space="preserve">2 </w:t>
      </w:r>
      <w:r w:rsidRPr="00F84E67">
        <w:t>(</w:t>
      </w:r>
      <w:r w:rsidRPr="00F84E67">
        <w:rPr>
          <w:rFonts w:eastAsiaTheme="minorEastAsia"/>
        </w:rPr>
        <w:t>Figure 13) with</w:t>
      </w:r>
      <w:r w:rsidRPr="00F84E67">
        <w:t xml:space="preserve"> </w:t>
      </w:r>
      <w:r w:rsidRPr="00F84E67">
        <w:rPr>
          <w:rFonts w:eastAsiaTheme="minorEastAsia"/>
        </w:rPr>
        <w:t>the coefficient R</w:t>
      </w:r>
      <w:r w:rsidRPr="00F84E67">
        <w:rPr>
          <w:rFonts w:eastAsiaTheme="minorEastAsia"/>
          <w:vertAlign w:val="superscript"/>
        </w:rPr>
        <w:t>2</w:t>
      </w:r>
      <w:r w:rsidRPr="00F84E67">
        <w:rPr>
          <w:rFonts w:eastAsiaTheme="minorEastAsia"/>
        </w:rPr>
        <w:t xml:space="preserve"> of 0.805, which show that the </w:t>
      </w:r>
      <w:r w:rsidRPr="00F84E67">
        <w:sym w:font="Symbol" w:char="F062"/>
      </w:r>
      <w:r w:rsidRPr="00F84E67">
        <w:rPr>
          <w:rFonts w:eastAsiaTheme="minorEastAsia"/>
        </w:rPr>
        <w:t xml:space="preserve"> value was 3.2384, the inferring E’ value was 0</w:t>
      </w:r>
      <w:r w:rsidRPr="00F84E67">
        <w:rPr>
          <w:rFonts w:eastAsiaTheme="minorEastAsia"/>
          <w:lang w:val="vi-VN"/>
        </w:rPr>
        <w:t>.</w:t>
      </w:r>
      <w:r w:rsidRPr="00F84E67">
        <w:rPr>
          <w:rFonts w:eastAsiaTheme="minorEastAsia"/>
        </w:rPr>
        <w:t>393 (kJ.mol</w:t>
      </w:r>
      <w:r w:rsidRPr="00F84E67">
        <w:rPr>
          <w:rFonts w:eastAsiaTheme="minorEastAsia"/>
          <w:vertAlign w:val="superscript"/>
        </w:rPr>
        <w:t>-1</w:t>
      </w:r>
      <w:r w:rsidRPr="00F84E67">
        <w:rPr>
          <w:rFonts w:eastAsiaTheme="minorEastAsia"/>
        </w:rPr>
        <w:t xml:space="preserve">) can be inferred as </w:t>
      </w:r>
      <w:r w:rsidRPr="00F84E67">
        <w:t xml:space="preserve">E’ = </w:t>
      </w:r>
      <m:oMath>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r>
                  <w:rPr>
                    <w:rFonts w:ascii="Cambria Math" w:hAnsi="Cambria Math"/>
                    <w:i/>
                  </w:rPr>
                  <w:sym w:font="Symbol" w:char="F062"/>
                </m:r>
              </m:e>
            </m:rad>
          </m:den>
        </m:f>
      </m:oMath>
      <w:r w:rsidRPr="00F84E67">
        <w:rPr>
          <w:rFonts w:eastAsiaTheme="minorEastAsia"/>
        </w:rPr>
        <w:t xml:space="preserve">  .With E’ value less than 8 kJ.mol</w:t>
      </w:r>
      <w:r w:rsidRPr="00F84E67">
        <w:rPr>
          <w:rFonts w:eastAsiaTheme="minorEastAsia"/>
          <w:vertAlign w:val="superscript"/>
        </w:rPr>
        <w:t>-1</w:t>
      </w:r>
      <w:r w:rsidRPr="00F84E67">
        <w:rPr>
          <w:rFonts w:eastAsiaTheme="minorEastAsia"/>
        </w:rPr>
        <w:t xml:space="preserve">, physical adsorption process was suitable </w:t>
      </w:r>
      <w:r w:rsidRPr="00F84E67">
        <w:t>according to theoretical classification</w:t>
      </w:r>
      <w:r>
        <w:t xml:space="preserve"> .</w:t>
      </w:r>
    </w:p>
    <w:tbl>
      <w:tblPr>
        <w:tblStyle w:val="TableGrid"/>
        <w:tblW w:w="0" w:type="auto"/>
        <w:jc w:val="center"/>
        <w:tblBorders>
          <w:top w:val="none" w:sz="0" w:space="0" w:color="auto"/>
          <w:bottom w:val="none" w:sz="0" w:space="0" w:color="auto"/>
          <w:insideH w:val="none" w:sz="0" w:space="0" w:color="auto"/>
        </w:tblBorders>
        <w:tblLook w:val="04A0" w:firstRow="1" w:lastRow="0" w:firstColumn="1" w:lastColumn="0" w:noHBand="0" w:noVBand="1"/>
      </w:tblPr>
      <w:tblGrid>
        <w:gridCol w:w="4138"/>
      </w:tblGrid>
      <w:tr w:rsidR="00E84DF8" w:rsidRPr="00F84E67" w14:paraId="04149950" w14:textId="77777777" w:rsidTr="00E84DF8">
        <w:trPr>
          <w:jc w:val="center"/>
        </w:trPr>
        <w:tc>
          <w:tcPr>
            <w:tcW w:w="4166" w:type="dxa"/>
          </w:tcPr>
          <w:p w14:paraId="16884039" w14:textId="77777777" w:rsidR="00E84DF8" w:rsidRPr="00F84E67" w:rsidRDefault="00E84DF8" w:rsidP="00E84DF8">
            <w:pPr>
              <w:pStyle w:val="Text"/>
              <w:spacing w:before="0"/>
              <w:rPr>
                <w:rFonts w:cs="Times New Roman"/>
                <w:szCs w:val="20"/>
                <w:lang w:val="vi-VN"/>
              </w:rPr>
            </w:pPr>
            <w:r w:rsidRPr="00F84E67">
              <w:rPr>
                <w:rFonts w:cs="Times New Roman"/>
                <w:noProof/>
                <w:szCs w:val="20"/>
              </w:rPr>
              <w:drawing>
                <wp:inline distT="0" distB="0" distL="0" distR="0" wp14:anchorId="2596C9B9" wp14:editId="7E513AAD">
                  <wp:extent cx="2597150" cy="1844675"/>
                  <wp:effectExtent l="0" t="0" r="0" b="3175"/>
                  <wp:docPr id="93" name="Chart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254A33EF" w14:textId="77777777" w:rsidR="00E84DF8" w:rsidRDefault="00E84DF8" w:rsidP="00E84DF8">
      <w:pPr>
        <w:pStyle w:val="FigureTitlte"/>
      </w:pPr>
      <w:r w:rsidRPr="00F84E67">
        <w:t>Figure 13. The isotherm adsorption curves according to D-R models.</w:t>
      </w:r>
    </w:p>
    <w:p w14:paraId="4D0FB081" w14:textId="77777777" w:rsidR="005B7739" w:rsidRDefault="005B7739" w:rsidP="00E84DF8">
      <w:pPr>
        <w:pStyle w:val="Text"/>
        <w:rPr>
          <w:lang w:val="vi-VN"/>
        </w:rPr>
      </w:pPr>
      <w:r>
        <w:rPr>
          <w:lang w:val="vi-VN"/>
        </w:rPr>
        <w:br w:type="page"/>
      </w:r>
    </w:p>
    <w:p w14:paraId="2AB70F33" w14:textId="0B40B941" w:rsidR="00E84DF8" w:rsidRDefault="00E84DF8" w:rsidP="00E84DF8">
      <w:pPr>
        <w:pStyle w:val="Text"/>
        <w:rPr>
          <w:lang w:val="vi-VN"/>
        </w:rPr>
      </w:pPr>
      <w:r w:rsidRPr="00F84E67">
        <w:rPr>
          <w:lang w:val="vi-VN"/>
        </w:rPr>
        <w:lastRenderedPageBreak/>
        <w:t xml:space="preserve">Table </w:t>
      </w:r>
      <w:r w:rsidRPr="00F84E67">
        <w:t>3</w:t>
      </w:r>
      <w:r w:rsidRPr="00F84E67">
        <w:rPr>
          <w:lang w:val="vi-VN"/>
        </w:rPr>
        <w:t xml:space="preserve"> show</w:t>
      </w:r>
      <w:r w:rsidRPr="00F84E67">
        <w:t>s</w:t>
      </w:r>
      <w:r w:rsidRPr="00F84E67">
        <w:rPr>
          <w:lang w:val="vi-VN"/>
        </w:rPr>
        <w:t xml:space="preserve"> the common a</w:t>
      </w:r>
      <w:r w:rsidRPr="00F84E67">
        <w:t>d</w:t>
      </w:r>
      <w:r w:rsidRPr="00F84E67">
        <w:rPr>
          <w:lang w:val="vi-VN"/>
        </w:rPr>
        <w:t xml:space="preserve">sorbents </w:t>
      </w:r>
      <w:r w:rsidRPr="00F84E67">
        <w:rPr>
          <w:lang w:val="en-GB"/>
        </w:rPr>
        <w:t xml:space="preserve">generally </w:t>
      </w:r>
      <w:r w:rsidRPr="00F84E67">
        <w:rPr>
          <w:lang w:val="vi-VN"/>
        </w:rPr>
        <w:t>applied for environmental treatment and MB in particular. The adsorption capacity of FGP - 3 in this study was lower than that of Chaukura</w:t>
      </w:r>
      <w:r w:rsidRPr="00F84E67">
        <w:t xml:space="preserve"> (2017)</w:t>
      </w:r>
      <w:r w:rsidRPr="00F84E67">
        <w:rPr>
          <w:lang w:val="vi-VN"/>
        </w:rPr>
        <w:t xml:space="preserve"> and 2.4 times lower than that </w:t>
      </w:r>
      <w:r w:rsidRPr="00F84E67">
        <w:rPr>
          <w:lang w:val="en-GB"/>
        </w:rPr>
        <w:t xml:space="preserve">documented in </w:t>
      </w:r>
      <w:r w:rsidRPr="00F84E67">
        <w:rPr>
          <w:lang w:val="vi-VN"/>
        </w:rPr>
        <w:t>Pham</w:t>
      </w:r>
      <w:r w:rsidRPr="00F84E67">
        <w:t>’ study</w:t>
      </w:r>
      <w:r w:rsidRPr="00F84E67">
        <w:rPr>
          <w:lang w:val="vi-VN"/>
        </w:rPr>
        <w:t xml:space="preserve"> </w:t>
      </w:r>
      <w:r w:rsidRPr="00F84E67">
        <w:t>(2016)</w:t>
      </w:r>
      <w:r w:rsidRPr="00F84E67">
        <w:rPr>
          <w:lang w:val="vi-VN"/>
        </w:rPr>
        <w:t xml:space="preserve">. This study has a higher maximum </w:t>
      </w:r>
      <w:r w:rsidRPr="00F84E67">
        <w:rPr>
          <w:lang w:val="vi-VN"/>
        </w:rPr>
        <w:t>adsorption capacity than Jamal</w:t>
      </w:r>
      <w:r w:rsidRPr="00F84E67">
        <w:t>’ study (2016)</w:t>
      </w:r>
      <w:r w:rsidRPr="00F84E67">
        <w:rPr>
          <w:lang w:val="vi-VN"/>
        </w:rPr>
        <w:t xml:space="preserve"> </w:t>
      </w:r>
      <w:r w:rsidRPr="00F84E67">
        <w:rPr>
          <w:lang w:val="en-GB"/>
        </w:rPr>
        <w:t xml:space="preserve">and </w:t>
      </w:r>
      <w:r w:rsidRPr="00F84E67">
        <w:rPr>
          <w:lang w:val="vi-VN"/>
        </w:rPr>
        <w:t>Tran</w:t>
      </w:r>
      <w:r w:rsidRPr="00F84E67">
        <w:t>’s study (2017)</w:t>
      </w:r>
      <w:r w:rsidRPr="00F84E67">
        <w:rPr>
          <w:lang w:val="vi-VN"/>
        </w:rPr>
        <w:t>. This shows the potential of FGP-3 adsorbent on MB removal. However, each adsorbent material will have different structural components, so the adsorption capacity will be different.</w:t>
      </w:r>
    </w:p>
    <w:p w14:paraId="4BCED3EB" w14:textId="77777777" w:rsidR="00E84DF8" w:rsidRDefault="00E84DF8" w:rsidP="00E84DF8">
      <w:pPr>
        <w:pStyle w:val="Text"/>
        <w:sectPr w:rsidR="00E84DF8" w:rsidSect="000E0E50">
          <w:type w:val="continuous"/>
          <w:pgSz w:w="10773" w:h="15309" w:code="150"/>
          <w:pgMar w:top="1418" w:right="1021" w:bottom="1418" w:left="1021" w:header="851" w:footer="851" w:gutter="0"/>
          <w:cols w:num="2" w:space="454"/>
          <w:docGrid w:linePitch="360"/>
        </w:sectPr>
      </w:pPr>
      <w:bookmarkStart w:id="2" w:name="_Toc91107566"/>
    </w:p>
    <w:p w14:paraId="58A4C7A5" w14:textId="77777777" w:rsidR="00E84DF8" w:rsidRPr="00753307" w:rsidRDefault="00E84DF8" w:rsidP="00E84DF8">
      <w:pPr>
        <w:rPr>
          <w:rFonts w:cs="Times New Roman"/>
          <w:b/>
          <w:sz w:val="2"/>
          <w:szCs w:val="2"/>
        </w:rPr>
        <w:sectPr w:rsidR="00E84DF8" w:rsidRPr="00753307" w:rsidSect="00E84DF8">
          <w:type w:val="continuous"/>
          <w:pgSz w:w="10773" w:h="15309" w:code="150"/>
          <w:pgMar w:top="1418" w:right="1021" w:bottom="1418" w:left="1021" w:header="851" w:footer="851" w:gutter="0"/>
          <w:cols w:space="454"/>
          <w:docGrid w:linePitch="360"/>
        </w:sectPr>
      </w:pPr>
    </w:p>
    <w:p w14:paraId="448BE6A6" w14:textId="77777777" w:rsidR="00E84DF8" w:rsidRPr="00F84E67" w:rsidRDefault="00E84DF8" w:rsidP="008F2713">
      <w:pPr>
        <w:pStyle w:val="TableTitle"/>
      </w:pPr>
      <w:r w:rsidRPr="00F84E67">
        <w:t xml:space="preserve">Table 3. </w:t>
      </w:r>
      <w:bookmarkEnd w:id="2"/>
      <w:r w:rsidRPr="00F84E67">
        <w:t>References of several adsorbents on methyl blue</w:t>
      </w:r>
    </w:p>
    <w:tbl>
      <w:tblPr>
        <w:tblW w:w="5000" w:type="pct"/>
        <w:tblCellMar>
          <w:left w:w="0" w:type="dxa"/>
          <w:right w:w="0" w:type="dxa"/>
        </w:tblCellMar>
        <w:tblLook w:val="01E0" w:firstRow="1" w:lastRow="1" w:firstColumn="1" w:lastColumn="1" w:noHBand="0" w:noVBand="0"/>
      </w:tblPr>
      <w:tblGrid>
        <w:gridCol w:w="4253"/>
        <w:gridCol w:w="992"/>
        <w:gridCol w:w="1418"/>
        <w:gridCol w:w="2068"/>
      </w:tblGrid>
      <w:tr w:rsidR="008F2713" w:rsidRPr="00F84E67" w14:paraId="70558556" w14:textId="77777777" w:rsidTr="00702190">
        <w:trPr>
          <w:trHeight w:val="50"/>
        </w:trPr>
        <w:tc>
          <w:tcPr>
            <w:tcW w:w="2436" w:type="pct"/>
            <w:tcBorders>
              <w:top w:val="single" w:sz="4" w:space="0" w:color="auto"/>
              <w:bottom w:val="single" w:sz="4" w:space="0" w:color="auto"/>
            </w:tcBorders>
          </w:tcPr>
          <w:p w14:paraId="461C42C0" w14:textId="77777777" w:rsidR="008F2713" w:rsidRPr="00F84E67" w:rsidRDefault="008F2713" w:rsidP="008F2713">
            <w:pPr>
              <w:pStyle w:val="TableParagraph"/>
              <w:spacing w:before="0" w:line="240" w:lineRule="auto"/>
              <w:ind w:firstLine="0"/>
              <w:jc w:val="left"/>
              <w:rPr>
                <w:sz w:val="20"/>
                <w:szCs w:val="20"/>
                <w:lang w:val="vi-VN"/>
              </w:rPr>
            </w:pPr>
            <w:r w:rsidRPr="00F84E67">
              <w:rPr>
                <w:sz w:val="20"/>
                <w:szCs w:val="20"/>
                <w:lang w:val="vi-VN"/>
              </w:rPr>
              <w:t>Adsorbents</w:t>
            </w:r>
          </w:p>
        </w:tc>
        <w:tc>
          <w:tcPr>
            <w:tcW w:w="568" w:type="pct"/>
            <w:tcBorders>
              <w:top w:val="single" w:sz="4" w:space="0" w:color="auto"/>
              <w:bottom w:val="single" w:sz="4" w:space="0" w:color="auto"/>
            </w:tcBorders>
          </w:tcPr>
          <w:p w14:paraId="45398E6D" w14:textId="77777777" w:rsidR="008F2713" w:rsidRPr="00F84E67" w:rsidRDefault="008F2713" w:rsidP="008F2713">
            <w:pPr>
              <w:pStyle w:val="TableParagraph"/>
              <w:spacing w:before="0" w:line="240" w:lineRule="auto"/>
              <w:ind w:firstLine="0"/>
              <w:jc w:val="right"/>
              <w:rPr>
                <w:sz w:val="20"/>
                <w:szCs w:val="20"/>
                <w:lang w:val="vi-VN"/>
              </w:rPr>
            </w:pPr>
            <w:r w:rsidRPr="00F84E67">
              <w:rPr>
                <w:sz w:val="20"/>
                <w:szCs w:val="20"/>
                <w:lang w:val="vi-VN"/>
              </w:rPr>
              <w:t>pH</w:t>
            </w:r>
          </w:p>
        </w:tc>
        <w:tc>
          <w:tcPr>
            <w:tcW w:w="812" w:type="pct"/>
            <w:tcBorders>
              <w:top w:val="single" w:sz="4" w:space="0" w:color="auto"/>
              <w:bottom w:val="single" w:sz="4" w:space="0" w:color="auto"/>
            </w:tcBorders>
          </w:tcPr>
          <w:p w14:paraId="4C19BACC" w14:textId="77777777" w:rsidR="008F2713" w:rsidRPr="00F84E67" w:rsidRDefault="008F2713" w:rsidP="008F2713">
            <w:pPr>
              <w:pStyle w:val="TableParagraph"/>
              <w:spacing w:before="0" w:line="240" w:lineRule="auto"/>
              <w:ind w:firstLine="0"/>
              <w:jc w:val="right"/>
              <w:rPr>
                <w:sz w:val="20"/>
                <w:szCs w:val="20"/>
              </w:rPr>
            </w:pPr>
            <w:r w:rsidRPr="00F84E67">
              <w:rPr>
                <w:position w:val="2"/>
                <w:sz w:val="20"/>
                <w:szCs w:val="20"/>
              </w:rPr>
              <w:t>q</w:t>
            </w:r>
            <w:r w:rsidRPr="00F84E67">
              <w:rPr>
                <w:sz w:val="20"/>
                <w:szCs w:val="20"/>
              </w:rPr>
              <w:t xml:space="preserve">max </w:t>
            </w:r>
            <w:r w:rsidRPr="00F84E67">
              <w:rPr>
                <w:position w:val="2"/>
                <w:sz w:val="20"/>
                <w:szCs w:val="20"/>
              </w:rPr>
              <w:t>(mg.g</w:t>
            </w:r>
            <w:r w:rsidRPr="00F84E67">
              <w:rPr>
                <w:position w:val="2"/>
                <w:sz w:val="20"/>
                <w:szCs w:val="20"/>
                <w:vertAlign w:val="superscript"/>
              </w:rPr>
              <w:t>-1</w:t>
            </w:r>
            <w:r w:rsidRPr="00F84E67">
              <w:rPr>
                <w:position w:val="2"/>
                <w:sz w:val="20"/>
                <w:szCs w:val="20"/>
              </w:rPr>
              <w:t>)</w:t>
            </w:r>
          </w:p>
        </w:tc>
        <w:tc>
          <w:tcPr>
            <w:tcW w:w="1184" w:type="pct"/>
            <w:tcBorders>
              <w:top w:val="single" w:sz="4" w:space="0" w:color="auto"/>
              <w:bottom w:val="single" w:sz="4" w:space="0" w:color="auto"/>
            </w:tcBorders>
            <w:vAlign w:val="center"/>
          </w:tcPr>
          <w:p w14:paraId="121FFDBA" w14:textId="77777777" w:rsidR="008F2713" w:rsidRPr="00F84E67" w:rsidRDefault="008F2713" w:rsidP="00B71B55">
            <w:pPr>
              <w:pStyle w:val="TableParagraph"/>
              <w:spacing w:before="0" w:line="240" w:lineRule="auto"/>
              <w:ind w:left="115" w:firstLine="0"/>
              <w:jc w:val="left"/>
              <w:rPr>
                <w:sz w:val="20"/>
                <w:szCs w:val="20"/>
                <w:lang w:val="vi-VN"/>
              </w:rPr>
            </w:pPr>
            <w:r w:rsidRPr="00F84E67">
              <w:rPr>
                <w:sz w:val="20"/>
                <w:szCs w:val="20"/>
                <w:lang w:val="vi-VN"/>
              </w:rPr>
              <w:t>Authors</w:t>
            </w:r>
          </w:p>
        </w:tc>
      </w:tr>
      <w:tr w:rsidR="008F2713" w:rsidRPr="00F84E67" w14:paraId="17E1A4EC" w14:textId="77777777" w:rsidTr="00702190">
        <w:trPr>
          <w:trHeight w:val="50"/>
        </w:trPr>
        <w:tc>
          <w:tcPr>
            <w:tcW w:w="2436" w:type="pct"/>
            <w:tcBorders>
              <w:top w:val="single" w:sz="4" w:space="0" w:color="auto"/>
            </w:tcBorders>
            <w:vAlign w:val="center"/>
          </w:tcPr>
          <w:p w14:paraId="1BE919FF" w14:textId="77777777" w:rsidR="008F2713" w:rsidRPr="00F84E67" w:rsidRDefault="008F2713" w:rsidP="008F2713">
            <w:pPr>
              <w:pStyle w:val="TableParagraph"/>
              <w:spacing w:before="0" w:line="240" w:lineRule="auto"/>
              <w:ind w:firstLine="0"/>
              <w:jc w:val="left"/>
              <w:rPr>
                <w:b w:val="0"/>
                <w:sz w:val="20"/>
                <w:szCs w:val="20"/>
                <w:lang w:val="vi-VN"/>
              </w:rPr>
            </w:pPr>
            <w:r w:rsidRPr="00F84E67">
              <w:rPr>
                <w:b w:val="0"/>
                <w:sz w:val="20"/>
                <w:szCs w:val="20"/>
                <w:lang w:val="vi-VN"/>
              </w:rPr>
              <w:t>Bio-coal</w:t>
            </w:r>
          </w:p>
        </w:tc>
        <w:tc>
          <w:tcPr>
            <w:tcW w:w="568" w:type="pct"/>
            <w:tcBorders>
              <w:top w:val="single" w:sz="4" w:space="0" w:color="auto"/>
            </w:tcBorders>
            <w:vAlign w:val="center"/>
          </w:tcPr>
          <w:p w14:paraId="589718E3" w14:textId="77777777" w:rsidR="008F2713" w:rsidRPr="00F84E67" w:rsidRDefault="008F2713" w:rsidP="008F2713">
            <w:pPr>
              <w:pStyle w:val="TableParagraph"/>
              <w:spacing w:before="0" w:line="240" w:lineRule="auto"/>
              <w:ind w:firstLine="0"/>
              <w:jc w:val="right"/>
              <w:rPr>
                <w:b w:val="0"/>
                <w:sz w:val="20"/>
                <w:szCs w:val="20"/>
              </w:rPr>
            </w:pPr>
            <w:r w:rsidRPr="00F84E67">
              <w:rPr>
                <w:b w:val="0"/>
                <w:sz w:val="20"/>
                <w:szCs w:val="20"/>
                <w:lang w:val="vi-VN"/>
              </w:rPr>
              <w:t>12</w:t>
            </w:r>
            <w:r w:rsidRPr="00F84E67">
              <w:rPr>
                <w:b w:val="0"/>
                <w:sz w:val="20"/>
                <w:szCs w:val="20"/>
              </w:rPr>
              <w:t>.0</w:t>
            </w:r>
          </w:p>
        </w:tc>
        <w:tc>
          <w:tcPr>
            <w:tcW w:w="812" w:type="pct"/>
            <w:tcBorders>
              <w:top w:val="single" w:sz="4" w:space="0" w:color="auto"/>
            </w:tcBorders>
            <w:vAlign w:val="center"/>
          </w:tcPr>
          <w:p w14:paraId="37A2A0B8" w14:textId="77777777" w:rsidR="008F2713" w:rsidRPr="00F84E67" w:rsidRDefault="008F2713" w:rsidP="008F2713">
            <w:pPr>
              <w:pStyle w:val="TableParagraph"/>
              <w:spacing w:before="0" w:line="240" w:lineRule="auto"/>
              <w:ind w:firstLine="0"/>
              <w:jc w:val="right"/>
              <w:rPr>
                <w:b w:val="0"/>
                <w:sz w:val="20"/>
                <w:szCs w:val="20"/>
                <w:lang w:val="vi-VN"/>
              </w:rPr>
            </w:pPr>
            <w:r w:rsidRPr="00F84E67">
              <w:rPr>
                <w:b w:val="0"/>
                <w:sz w:val="20"/>
                <w:szCs w:val="20"/>
              </w:rPr>
              <w:t>33.</w:t>
            </w:r>
            <w:r w:rsidRPr="00F84E67">
              <w:rPr>
                <w:b w:val="0"/>
                <w:sz w:val="20"/>
                <w:szCs w:val="20"/>
                <w:lang w:val="vi-VN"/>
              </w:rPr>
              <w:t>0</w:t>
            </w:r>
          </w:p>
        </w:tc>
        <w:tc>
          <w:tcPr>
            <w:tcW w:w="1184" w:type="pct"/>
            <w:tcBorders>
              <w:top w:val="single" w:sz="4" w:space="0" w:color="auto"/>
            </w:tcBorders>
            <w:vAlign w:val="center"/>
          </w:tcPr>
          <w:p w14:paraId="74FC8E07" w14:textId="77777777" w:rsidR="008F2713" w:rsidRPr="00F84E67" w:rsidRDefault="008F2713" w:rsidP="00B71B55">
            <w:pPr>
              <w:pStyle w:val="TableParagraph"/>
              <w:spacing w:before="0" w:line="240" w:lineRule="auto"/>
              <w:ind w:left="115" w:firstLine="0"/>
              <w:jc w:val="left"/>
              <w:rPr>
                <w:b w:val="0"/>
                <w:sz w:val="20"/>
                <w:szCs w:val="20"/>
              </w:rPr>
            </w:pPr>
            <w:r w:rsidRPr="00F84E67">
              <w:rPr>
                <w:b w:val="0"/>
                <w:sz w:val="20"/>
                <w:szCs w:val="20"/>
              </w:rPr>
              <w:t>(Chaukura et al., 2017)</w:t>
            </w:r>
          </w:p>
        </w:tc>
      </w:tr>
      <w:tr w:rsidR="008F2713" w:rsidRPr="00F84E67" w14:paraId="7D2B781D" w14:textId="77777777" w:rsidTr="00702190">
        <w:trPr>
          <w:trHeight w:val="60"/>
        </w:trPr>
        <w:tc>
          <w:tcPr>
            <w:tcW w:w="2436" w:type="pct"/>
            <w:vAlign w:val="center"/>
          </w:tcPr>
          <w:p w14:paraId="4680A74F" w14:textId="77777777" w:rsidR="008F2713" w:rsidRPr="00F84E67" w:rsidRDefault="008F2713" w:rsidP="008F2713">
            <w:pPr>
              <w:pStyle w:val="TableParagraph"/>
              <w:spacing w:before="0" w:line="240" w:lineRule="auto"/>
              <w:ind w:firstLine="0"/>
              <w:jc w:val="left"/>
              <w:rPr>
                <w:b w:val="0"/>
                <w:sz w:val="20"/>
                <w:szCs w:val="20"/>
                <w:lang w:val="vi-VN"/>
              </w:rPr>
            </w:pPr>
            <w:r w:rsidRPr="00F84E67">
              <w:rPr>
                <w:b w:val="0"/>
                <w:sz w:val="20"/>
                <w:szCs w:val="20"/>
              </w:rPr>
              <w:t>Poly(3,4propylenedioxythiophen/MnO</w:t>
            </w:r>
            <w:r w:rsidRPr="00F84E67">
              <w:rPr>
                <w:b w:val="0"/>
                <w:sz w:val="20"/>
                <w:szCs w:val="20"/>
                <w:vertAlign w:val="subscript"/>
              </w:rPr>
              <w:t>2</w:t>
            </w:r>
            <w:r w:rsidRPr="00F84E67">
              <w:rPr>
                <w:b w:val="0"/>
                <w:sz w:val="20"/>
                <w:szCs w:val="20"/>
              </w:rPr>
              <w:t xml:space="preserve"> composites</w:t>
            </w:r>
            <w:r w:rsidRPr="00F84E67">
              <w:rPr>
                <w:b w:val="0"/>
                <w:sz w:val="20"/>
                <w:szCs w:val="20"/>
                <w:lang w:val="vi-VN"/>
              </w:rPr>
              <w:t>)</w:t>
            </w:r>
          </w:p>
        </w:tc>
        <w:tc>
          <w:tcPr>
            <w:tcW w:w="568" w:type="pct"/>
            <w:vAlign w:val="center"/>
          </w:tcPr>
          <w:p w14:paraId="509F56AB" w14:textId="77777777" w:rsidR="008F2713" w:rsidRPr="00F84E67" w:rsidRDefault="008F2713" w:rsidP="008F2713">
            <w:pPr>
              <w:pStyle w:val="TableParagraph"/>
              <w:spacing w:before="0" w:line="240" w:lineRule="auto"/>
              <w:ind w:firstLine="0"/>
              <w:jc w:val="right"/>
              <w:rPr>
                <w:b w:val="0"/>
                <w:sz w:val="20"/>
                <w:szCs w:val="20"/>
              </w:rPr>
            </w:pPr>
            <w:r w:rsidRPr="00F84E67">
              <w:rPr>
                <w:b w:val="0"/>
                <w:sz w:val="20"/>
                <w:szCs w:val="20"/>
                <w:lang w:val="vi-VN"/>
              </w:rPr>
              <w:t>7</w:t>
            </w:r>
            <w:r w:rsidRPr="00F84E67">
              <w:rPr>
                <w:b w:val="0"/>
                <w:sz w:val="20"/>
                <w:szCs w:val="20"/>
              </w:rPr>
              <w:t>.0</w:t>
            </w:r>
          </w:p>
        </w:tc>
        <w:tc>
          <w:tcPr>
            <w:tcW w:w="812" w:type="pct"/>
            <w:vAlign w:val="center"/>
          </w:tcPr>
          <w:p w14:paraId="0BCCB737" w14:textId="77777777" w:rsidR="008F2713" w:rsidRPr="00F84E67" w:rsidRDefault="008F2713" w:rsidP="008F2713">
            <w:pPr>
              <w:pStyle w:val="TableParagraph"/>
              <w:spacing w:before="0" w:line="240" w:lineRule="auto"/>
              <w:ind w:firstLine="0"/>
              <w:jc w:val="right"/>
              <w:rPr>
                <w:b w:val="0"/>
                <w:sz w:val="20"/>
                <w:szCs w:val="20"/>
                <w:lang w:val="vi-VN"/>
              </w:rPr>
            </w:pPr>
            <w:r w:rsidRPr="00F84E67">
              <w:rPr>
                <w:b w:val="0"/>
                <w:sz w:val="20"/>
                <w:szCs w:val="20"/>
                <w:lang w:val="vi-VN"/>
              </w:rPr>
              <w:t>13</w:t>
            </w:r>
            <w:r w:rsidRPr="00F84E67">
              <w:rPr>
                <w:b w:val="0"/>
                <w:sz w:val="20"/>
                <w:szCs w:val="20"/>
              </w:rPr>
              <w:t>.</w:t>
            </w:r>
            <w:r w:rsidRPr="00F84E67">
              <w:rPr>
                <w:b w:val="0"/>
                <w:sz w:val="20"/>
                <w:szCs w:val="20"/>
                <w:lang w:val="vi-VN"/>
              </w:rPr>
              <w:t>9</w:t>
            </w:r>
          </w:p>
        </w:tc>
        <w:tc>
          <w:tcPr>
            <w:tcW w:w="1184" w:type="pct"/>
            <w:vAlign w:val="center"/>
          </w:tcPr>
          <w:p w14:paraId="479D6B55" w14:textId="77777777" w:rsidR="008F2713" w:rsidRPr="00F84E67" w:rsidRDefault="008F2713" w:rsidP="00B71B55">
            <w:pPr>
              <w:pStyle w:val="TableParagraph"/>
              <w:spacing w:before="0" w:line="240" w:lineRule="auto"/>
              <w:ind w:left="115" w:firstLine="0"/>
              <w:jc w:val="left"/>
              <w:rPr>
                <w:b w:val="0"/>
                <w:sz w:val="20"/>
                <w:szCs w:val="20"/>
                <w:lang w:val="vi-VN"/>
              </w:rPr>
            </w:pPr>
            <w:r w:rsidRPr="00F84E67">
              <w:rPr>
                <w:b w:val="0"/>
                <w:sz w:val="20"/>
                <w:szCs w:val="20"/>
              </w:rPr>
              <w:t>(</w:t>
            </w:r>
            <w:r w:rsidRPr="00F84E67">
              <w:rPr>
                <w:b w:val="0"/>
                <w:sz w:val="20"/>
                <w:szCs w:val="20"/>
                <w:lang w:val="vi-VN"/>
              </w:rPr>
              <w:t>Jamal et al.</w:t>
            </w:r>
            <w:r w:rsidRPr="00F84E67">
              <w:rPr>
                <w:b w:val="0"/>
                <w:sz w:val="20"/>
                <w:szCs w:val="20"/>
              </w:rPr>
              <w:t>, 2016)</w:t>
            </w:r>
          </w:p>
        </w:tc>
      </w:tr>
      <w:tr w:rsidR="008F2713" w:rsidRPr="00F84E67" w14:paraId="777C0DC2" w14:textId="77777777" w:rsidTr="00702190">
        <w:trPr>
          <w:trHeight w:val="60"/>
        </w:trPr>
        <w:tc>
          <w:tcPr>
            <w:tcW w:w="2436" w:type="pct"/>
            <w:vAlign w:val="center"/>
          </w:tcPr>
          <w:p w14:paraId="07ABE162" w14:textId="77777777" w:rsidR="008F2713" w:rsidRPr="00F84E67" w:rsidRDefault="008F2713" w:rsidP="008F2713">
            <w:pPr>
              <w:pStyle w:val="TableParagraph"/>
              <w:spacing w:before="0" w:line="240" w:lineRule="auto"/>
              <w:ind w:firstLine="0"/>
              <w:jc w:val="left"/>
              <w:rPr>
                <w:b w:val="0"/>
                <w:sz w:val="20"/>
                <w:szCs w:val="20"/>
              </w:rPr>
            </w:pPr>
            <w:r w:rsidRPr="00F84E67">
              <w:rPr>
                <w:b w:val="0"/>
                <w:sz w:val="20"/>
                <w:szCs w:val="20"/>
              </w:rPr>
              <w:t>CS/Fe</w:t>
            </w:r>
            <w:r w:rsidRPr="00F84E67">
              <w:rPr>
                <w:b w:val="0"/>
                <w:sz w:val="20"/>
                <w:szCs w:val="20"/>
                <w:vertAlign w:val="subscript"/>
              </w:rPr>
              <w:t>3</w:t>
            </w:r>
            <w:r w:rsidRPr="00F84E67">
              <w:rPr>
                <w:b w:val="0"/>
                <w:sz w:val="20"/>
                <w:szCs w:val="20"/>
              </w:rPr>
              <w:t>O</w:t>
            </w:r>
            <w:r w:rsidRPr="00F84E67">
              <w:rPr>
                <w:b w:val="0"/>
                <w:sz w:val="20"/>
                <w:szCs w:val="20"/>
                <w:vertAlign w:val="subscript"/>
              </w:rPr>
              <w:t>4</w:t>
            </w:r>
            <w:r w:rsidRPr="00F84E67">
              <w:rPr>
                <w:b w:val="0"/>
                <w:sz w:val="20"/>
                <w:szCs w:val="20"/>
              </w:rPr>
              <w:t>/GO</w:t>
            </w:r>
          </w:p>
        </w:tc>
        <w:tc>
          <w:tcPr>
            <w:tcW w:w="568" w:type="pct"/>
            <w:vAlign w:val="center"/>
          </w:tcPr>
          <w:p w14:paraId="67F20EFE" w14:textId="77777777" w:rsidR="008F2713" w:rsidRPr="00F84E67" w:rsidRDefault="008F2713" w:rsidP="008F2713">
            <w:pPr>
              <w:pStyle w:val="TableParagraph"/>
              <w:spacing w:before="0" w:line="240" w:lineRule="auto"/>
              <w:ind w:firstLine="0"/>
              <w:jc w:val="right"/>
              <w:rPr>
                <w:b w:val="0"/>
                <w:sz w:val="20"/>
                <w:szCs w:val="20"/>
                <w:lang w:val="vi-VN"/>
              </w:rPr>
            </w:pPr>
            <w:r w:rsidRPr="00F84E67">
              <w:rPr>
                <w:b w:val="0"/>
                <w:sz w:val="20"/>
                <w:szCs w:val="20"/>
                <w:lang w:val="vi-VN"/>
              </w:rPr>
              <w:t>10</w:t>
            </w:r>
            <w:r w:rsidRPr="00F84E67">
              <w:rPr>
                <w:b w:val="0"/>
                <w:sz w:val="20"/>
                <w:szCs w:val="20"/>
              </w:rPr>
              <w:t>.</w:t>
            </w:r>
            <w:r w:rsidRPr="00F84E67">
              <w:rPr>
                <w:b w:val="0"/>
                <w:sz w:val="20"/>
                <w:szCs w:val="20"/>
                <w:lang w:val="vi-VN"/>
              </w:rPr>
              <w:t>5</w:t>
            </w:r>
          </w:p>
        </w:tc>
        <w:tc>
          <w:tcPr>
            <w:tcW w:w="812" w:type="pct"/>
            <w:vAlign w:val="center"/>
          </w:tcPr>
          <w:p w14:paraId="4C360E6C" w14:textId="77777777" w:rsidR="008F2713" w:rsidRPr="00F84E67" w:rsidRDefault="008F2713" w:rsidP="008F2713">
            <w:pPr>
              <w:pStyle w:val="TableParagraph"/>
              <w:spacing w:before="0" w:line="240" w:lineRule="auto"/>
              <w:ind w:firstLine="0"/>
              <w:jc w:val="right"/>
              <w:rPr>
                <w:b w:val="0"/>
                <w:sz w:val="20"/>
                <w:szCs w:val="20"/>
                <w:lang w:val="vi-VN"/>
              </w:rPr>
            </w:pPr>
            <w:r w:rsidRPr="00F84E67">
              <w:rPr>
                <w:b w:val="0"/>
                <w:sz w:val="20"/>
                <w:szCs w:val="20"/>
              </w:rPr>
              <w:t>30.</w:t>
            </w:r>
            <w:r w:rsidRPr="00F84E67">
              <w:rPr>
                <w:b w:val="0"/>
                <w:sz w:val="20"/>
                <w:szCs w:val="20"/>
                <w:lang w:val="vi-VN"/>
              </w:rPr>
              <w:t>1</w:t>
            </w:r>
          </w:p>
        </w:tc>
        <w:tc>
          <w:tcPr>
            <w:tcW w:w="1184" w:type="pct"/>
            <w:vAlign w:val="center"/>
          </w:tcPr>
          <w:p w14:paraId="50D43181" w14:textId="77777777" w:rsidR="008F2713" w:rsidRPr="00F84E67" w:rsidRDefault="008F2713" w:rsidP="00B71B55">
            <w:pPr>
              <w:pStyle w:val="TableParagraph"/>
              <w:spacing w:before="0" w:line="240" w:lineRule="auto"/>
              <w:ind w:left="115" w:firstLine="0"/>
              <w:jc w:val="left"/>
              <w:rPr>
                <w:b w:val="0"/>
                <w:sz w:val="20"/>
                <w:szCs w:val="20"/>
              </w:rPr>
            </w:pPr>
            <w:r w:rsidRPr="00F84E67">
              <w:rPr>
                <w:rStyle w:val="nowrap"/>
                <w:b w:val="0"/>
                <w:sz w:val="20"/>
                <w:szCs w:val="20"/>
                <w:bdr w:val="none" w:sz="0" w:space="0" w:color="auto" w:frame="1"/>
              </w:rPr>
              <w:t xml:space="preserve">(Hoang </w:t>
            </w:r>
            <w:r w:rsidRPr="00F84E67">
              <w:rPr>
                <w:b w:val="0"/>
                <w:sz w:val="20"/>
                <w:szCs w:val="20"/>
                <w:lang w:val="vi-VN"/>
              </w:rPr>
              <w:t>et al.</w:t>
            </w:r>
            <w:r w:rsidRPr="00F84E67">
              <w:rPr>
                <w:b w:val="0"/>
                <w:sz w:val="20"/>
                <w:szCs w:val="20"/>
              </w:rPr>
              <w:t>, 2017)</w:t>
            </w:r>
          </w:p>
        </w:tc>
      </w:tr>
      <w:tr w:rsidR="008F2713" w:rsidRPr="00F84E67" w14:paraId="6A2BE130" w14:textId="77777777" w:rsidTr="00702190">
        <w:trPr>
          <w:trHeight w:val="60"/>
        </w:trPr>
        <w:tc>
          <w:tcPr>
            <w:tcW w:w="2436" w:type="pct"/>
            <w:vAlign w:val="center"/>
          </w:tcPr>
          <w:p w14:paraId="6D28BAE4" w14:textId="77777777" w:rsidR="008F2713" w:rsidRPr="00F84E67" w:rsidRDefault="008F2713" w:rsidP="008F2713">
            <w:pPr>
              <w:pStyle w:val="TableParagraph"/>
              <w:tabs>
                <w:tab w:val="left" w:pos="765"/>
              </w:tabs>
              <w:spacing w:before="0" w:line="240" w:lineRule="auto"/>
              <w:ind w:firstLine="0"/>
              <w:jc w:val="left"/>
              <w:rPr>
                <w:b w:val="0"/>
                <w:sz w:val="20"/>
                <w:szCs w:val="20"/>
                <w:lang w:val="vi-VN"/>
              </w:rPr>
            </w:pPr>
            <w:r w:rsidRPr="00F84E67">
              <w:rPr>
                <w:b w:val="0"/>
                <w:sz w:val="20"/>
                <w:szCs w:val="20"/>
              </w:rPr>
              <w:t>Fe</w:t>
            </w:r>
            <w:r w:rsidRPr="00F84E67">
              <w:rPr>
                <w:b w:val="0"/>
                <w:sz w:val="20"/>
                <w:szCs w:val="20"/>
                <w:vertAlign w:val="subscript"/>
              </w:rPr>
              <w:t>3</w:t>
            </w:r>
            <w:r w:rsidRPr="00F84E67">
              <w:rPr>
                <w:b w:val="0"/>
                <w:sz w:val="20"/>
                <w:szCs w:val="20"/>
              </w:rPr>
              <w:t>O</w:t>
            </w:r>
            <w:r w:rsidRPr="00F84E67">
              <w:rPr>
                <w:b w:val="0"/>
                <w:sz w:val="20"/>
                <w:szCs w:val="20"/>
                <w:vertAlign w:val="subscript"/>
              </w:rPr>
              <w:t>4</w:t>
            </w:r>
            <w:r w:rsidRPr="00F84E67">
              <w:rPr>
                <w:b w:val="0"/>
                <w:sz w:val="20"/>
                <w:szCs w:val="20"/>
              </w:rPr>
              <w:t>/GO</w:t>
            </w:r>
          </w:p>
        </w:tc>
        <w:tc>
          <w:tcPr>
            <w:tcW w:w="568" w:type="pct"/>
            <w:vAlign w:val="center"/>
          </w:tcPr>
          <w:p w14:paraId="4E96C0ED" w14:textId="77777777" w:rsidR="008F2713" w:rsidRPr="00F84E67" w:rsidRDefault="008F2713" w:rsidP="008F2713">
            <w:pPr>
              <w:pStyle w:val="TableParagraph"/>
              <w:spacing w:before="0" w:line="240" w:lineRule="auto"/>
              <w:ind w:firstLine="0"/>
              <w:jc w:val="right"/>
              <w:rPr>
                <w:b w:val="0"/>
                <w:sz w:val="20"/>
                <w:szCs w:val="20"/>
              </w:rPr>
            </w:pPr>
            <w:r w:rsidRPr="00F84E67">
              <w:rPr>
                <w:b w:val="0"/>
                <w:sz w:val="20"/>
                <w:szCs w:val="20"/>
                <w:lang w:val="vi-VN"/>
              </w:rPr>
              <w:t>7</w:t>
            </w:r>
            <w:r w:rsidRPr="00F84E67">
              <w:rPr>
                <w:b w:val="0"/>
                <w:sz w:val="20"/>
                <w:szCs w:val="20"/>
              </w:rPr>
              <w:t>.0</w:t>
            </w:r>
          </w:p>
        </w:tc>
        <w:tc>
          <w:tcPr>
            <w:tcW w:w="812" w:type="pct"/>
            <w:vAlign w:val="center"/>
          </w:tcPr>
          <w:p w14:paraId="087426EF" w14:textId="77777777" w:rsidR="008F2713" w:rsidRPr="00F84E67" w:rsidRDefault="008F2713" w:rsidP="008F2713">
            <w:pPr>
              <w:pStyle w:val="TableParagraph"/>
              <w:spacing w:before="0" w:line="240" w:lineRule="auto"/>
              <w:ind w:firstLine="0"/>
              <w:jc w:val="right"/>
              <w:rPr>
                <w:b w:val="0"/>
                <w:sz w:val="20"/>
                <w:szCs w:val="20"/>
                <w:lang w:val="vi-VN"/>
              </w:rPr>
            </w:pPr>
            <w:r w:rsidRPr="00F84E67">
              <w:rPr>
                <w:b w:val="0"/>
                <w:sz w:val="20"/>
                <w:szCs w:val="20"/>
              </w:rPr>
              <w:t>72.9</w:t>
            </w:r>
          </w:p>
        </w:tc>
        <w:tc>
          <w:tcPr>
            <w:tcW w:w="1184" w:type="pct"/>
            <w:vAlign w:val="center"/>
          </w:tcPr>
          <w:p w14:paraId="6B064257" w14:textId="77777777" w:rsidR="008F2713" w:rsidRPr="00F84E67" w:rsidRDefault="008F2713" w:rsidP="00B71B55">
            <w:pPr>
              <w:pStyle w:val="TableParagraph"/>
              <w:spacing w:before="0" w:line="240" w:lineRule="auto"/>
              <w:ind w:left="115" w:firstLine="0"/>
              <w:jc w:val="left"/>
              <w:rPr>
                <w:b w:val="0"/>
                <w:sz w:val="20"/>
                <w:szCs w:val="20"/>
                <w:lang w:val="vi-VN"/>
              </w:rPr>
            </w:pPr>
            <w:r w:rsidRPr="00F84E67">
              <w:rPr>
                <w:b w:val="0"/>
                <w:sz w:val="20"/>
                <w:szCs w:val="20"/>
              </w:rPr>
              <w:t>(</w:t>
            </w:r>
            <w:r w:rsidRPr="00F84E67">
              <w:rPr>
                <w:b w:val="0"/>
                <w:sz w:val="20"/>
                <w:szCs w:val="20"/>
                <w:lang w:val="vi-VN"/>
              </w:rPr>
              <w:t>Ph</w:t>
            </w:r>
            <w:r w:rsidRPr="00F84E67">
              <w:rPr>
                <w:b w:val="0"/>
                <w:sz w:val="20"/>
                <w:szCs w:val="20"/>
              </w:rPr>
              <w:t>a</w:t>
            </w:r>
            <w:r w:rsidRPr="00F84E67">
              <w:rPr>
                <w:b w:val="0"/>
                <w:sz w:val="20"/>
                <w:szCs w:val="20"/>
                <w:lang w:val="vi-VN"/>
              </w:rPr>
              <w:t>m et al.</w:t>
            </w:r>
            <w:r w:rsidRPr="00F84E67">
              <w:rPr>
                <w:b w:val="0"/>
                <w:sz w:val="20"/>
                <w:szCs w:val="20"/>
              </w:rPr>
              <w:t>, 2016)</w:t>
            </w:r>
          </w:p>
        </w:tc>
      </w:tr>
      <w:tr w:rsidR="008F2713" w:rsidRPr="00F84E67" w14:paraId="7EAD983B" w14:textId="77777777" w:rsidTr="00702190">
        <w:trPr>
          <w:trHeight w:val="60"/>
        </w:trPr>
        <w:tc>
          <w:tcPr>
            <w:tcW w:w="2436" w:type="pct"/>
            <w:tcBorders>
              <w:bottom w:val="single" w:sz="4" w:space="0" w:color="auto"/>
            </w:tcBorders>
            <w:vAlign w:val="center"/>
          </w:tcPr>
          <w:p w14:paraId="306AE9B2" w14:textId="77777777" w:rsidR="008F2713" w:rsidRPr="00F84E67" w:rsidRDefault="008F2713" w:rsidP="008F2713">
            <w:pPr>
              <w:pStyle w:val="TableParagraph"/>
              <w:spacing w:before="0" w:line="240" w:lineRule="auto"/>
              <w:ind w:firstLine="0"/>
              <w:jc w:val="left"/>
              <w:rPr>
                <w:b w:val="0"/>
                <w:sz w:val="20"/>
                <w:szCs w:val="20"/>
              </w:rPr>
            </w:pPr>
            <w:r w:rsidRPr="00F84E67">
              <w:rPr>
                <w:b w:val="0"/>
                <w:sz w:val="20"/>
                <w:szCs w:val="20"/>
              </w:rPr>
              <w:t>FGP-3</w:t>
            </w:r>
          </w:p>
        </w:tc>
        <w:tc>
          <w:tcPr>
            <w:tcW w:w="568" w:type="pct"/>
            <w:tcBorders>
              <w:bottom w:val="single" w:sz="4" w:space="0" w:color="auto"/>
            </w:tcBorders>
            <w:vAlign w:val="center"/>
          </w:tcPr>
          <w:p w14:paraId="109423CA" w14:textId="77777777" w:rsidR="008F2713" w:rsidRPr="00F84E67" w:rsidRDefault="008F2713" w:rsidP="008F2713">
            <w:pPr>
              <w:pStyle w:val="TableParagraph"/>
              <w:spacing w:before="0" w:line="240" w:lineRule="auto"/>
              <w:ind w:firstLine="0"/>
              <w:jc w:val="right"/>
              <w:rPr>
                <w:b w:val="0"/>
                <w:sz w:val="20"/>
                <w:szCs w:val="20"/>
                <w:lang w:val="vi-VN"/>
              </w:rPr>
            </w:pPr>
            <w:r w:rsidRPr="00F84E67">
              <w:rPr>
                <w:b w:val="0"/>
                <w:sz w:val="20"/>
                <w:szCs w:val="20"/>
              </w:rPr>
              <w:t>8.5</w:t>
            </w:r>
          </w:p>
        </w:tc>
        <w:tc>
          <w:tcPr>
            <w:tcW w:w="812" w:type="pct"/>
            <w:tcBorders>
              <w:bottom w:val="single" w:sz="4" w:space="0" w:color="auto"/>
            </w:tcBorders>
            <w:shd w:val="clear" w:color="auto" w:fill="auto"/>
            <w:vAlign w:val="center"/>
          </w:tcPr>
          <w:p w14:paraId="1E2DB2DC" w14:textId="77777777" w:rsidR="008F2713" w:rsidRPr="00F84E67" w:rsidRDefault="008F2713" w:rsidP="008F2713">
            <w:pPr>
              <w:pStyle w:val="TableParagraph"/>
              <w:spacing w:before="0" w:line="240" w:lineRule="auto"/>
              <w:ind w:firstLine="0"/>
              <w:jc w:val="right"/>
              <w:rPr>
                <w:b w:val="0"/>
                <w:sz w:val="20"/>
                <w:szCs w:val="20"/>
              </w:rPr>
            </w:pPr>
            <w:r w:rsidRPr="00F84E67">
              <w:rPr>
                <w:b w:val="0"/>
                <w:sz w:val="20"/>
                <w:szCs w:val="20"/>
                <w:lang w:val="vi-VN"/>
              </w:rPr>
              <w:t>30</w:t>
            </w:r>
            <w:r w:rsidRPr="00F84E67">
              <w:rPr>
                <w:b w:val="0"/>
                <w:sz w:val="20"/>
                <w:szCs w:val="20"/>
              </w:rPr>
              <w:t>.4</w:t>
            </w:r>
          </w:p>
        </w:tc>
        <w:tc>
          <w:tcPr>
            <w:tcW w:w="1184" w:type="pct"/>
            <w:tcBorders>
              <w:bottom w:val="single" w:sz="4" w:space="0" w:color="auto"/>
            </w:tcBorders>
            <w:vAlign w:val="center"/>
          </w:tcPr>
          <w:p w14:paraId="5A33576B" w14:textId="77777777" w:rsidR="008F2713" w:rsidRPr="00F84E67" w:rsidRDefault="008F2713" w:rsidP="00B71B55">
            <w:pPr>
              <w:pStyle w:val="TableParagraph"/>
              <w:spacing w:before="0" w:line="240" w:lineRule="auto"/>
              <w:ind w:left="115" w:firstLine="0"/>
              <w:jc w:val="left"/>
              <w:rPr>
                <w:b w:val="0"/>
                <w:sz w:val="20"/>
                <w:szCs w:val="20"/>
                <w:lang w:val="vi-VN"/>
              </w:rPr>
            </w:pPr>
            <w:r w:rsidRPr="00F84E67">
              <w:rPr>
                <w:b w:val="0"/>
                <w:sz w:val="20"/>
                <w:szCs w:val="20"/>
                <w:lang w:val="vi-VN"/>
              </w:rPr>
              <w:t>This study</w:t>
            </w:r>
          </w:p>
        </w:tc>
      </w:tr>
    </w:tbl>
    <w:p w14:paraId="64B61301" w14:textId="77777777" w:rsidR="008F2713" w:rsidRPr="00702190" w:rsidRDefault="008F2713" w:rsidP="00702190">
      <w:pPr>
        <w:rPr>
          <w:sz w:val="2"/>
          <w:szCs w:val="2"/>
        </w:rPr>
        <w:sectPr w:rsidR="008F2713" w:rsidRPr="00702190" w:rsidSect="008F2713">
          <w:type w:val="continuous"/>
          <w:pgSz w:w="10773" w:h="15309" w:code="150"/>
          <w:pgMar w:top="1418" w:right="1021" w:bottom="1418" w:left="1021" w:header="851" w:footer="851" w:gutter="0"/>
          <w:cols w:space="454"/>
          <w:docGrid w:linePitch="360"/>
        </w:sectPr>
      </w:pPr>
    </w:p>
    <w:p w14:paraId="38040C11" w14:textId="77777777" w:rsidR="008F2713" w:rsidRPr="00F84E67" w:rsidRDefault="008F2713" w:rsidP="00E710A0">
      <w:pPr>
        <w:pStyle w:val="Heading1"/>
        <w:spacing w:before="0"/>
      </w:pPr>
      <w:r w:rsidRPr="00F84E67">
        <w:t>CONCLUSIONS</w:t>
      </w:r>
    </w:p>
    <w:p w14:paraId="0E4FC7F0" w14:textId="77777777" w:rsidR="008F2713" w:rsidRDefault="008F2713" w:rsidP="008F2713">
      <w:pPr>
        <w:pStyle w:val="Text"/>
      </w:pPr>
      <w:r w:rsidRPr="00F84E67">
        <w:rPr>
          <w:bCs w:val="0"/>
          <w:lang w:val="vi-VN"/>
        </w:rPr>
        <w:t>This study successfully used the</w:t>
      </w:r>
      <w:r w:rsidRPr="00F84E67">
        <w:rPr>
          <w:lang w:val="vi-VN"/>
        </w:rPr>
        <w:t xml:space="preserve"> waste battery </w:t>
      </w:r>
      <w:r w:rsidRPr="00F84E67">
        <w:rPr>
          <w:lang w:val="en-GB"/>
        </w:rPr>
        <w:t xml:space="preserve">materials to  </w:t>
      </w:r>
      <w:r w:rsidRPr="00F84E67">
        <w:rPr>
          <w:lang w:val="vi-VN"/>
        </w:rPr>
        <w:t>successfully synthesiz</w:t>
      </w:r>
      <w:r w:rsidRPr="00F84E67">
        <w:rPr>
          <w:lang w:val="en-GB"/>
        </w:rPr>
        <w:t>e</w:t>
      </w:r>
      <w:r w:rsidRPr="00F84E67">
        <w:rPr>
          <w:lang w:val="vi-VN"/>
        </w:rPr>
        <w:t xml:space="preserve"> GO material</w:t>
      </w:r>
      <w:r w:rsidRPr="00F84E67">
        <w:rPr>
          <w:lang w:val="en-GB"/>
        </w:rPr>
        <w:t>s</w:t>
      </w:r>
      <w:r w:rsidRPr="00F84E67">
        <w:rPr>
          <w:lang w:val="vi-VN"/>
        </w:rPr>
        <w:t xml:space="preserve"> </w:t>
      </w:r>
      <w:r w:rsidRPr="00F84E67">
        <w:rPr>
          <w:lang w:val="en-GB"/>
        </w:rPr>
        <w:t>using the</w:t>
      </w:r>
      <w:r w:rsidRPr="00F84E67">
        <w:rPr>
          <w:lang w:val="vi-VN"/>
        </w:rPr>
        <w:t xml:space="preserve"> Hummers method and successfully synthesized FGP-3 by </w:t>
      </w:r>
      <w:r w:rsidRPr="00F84E67">
        <w:rPr>
          <w:lang w:val="en-GB"/>
        </w:rPr>
        <w:t xml:space="preserve">the </w:t>
      </w:r>
      <w:r w:rsidRPr="00F84E67">
        <w:rPr>
          <w:lang w:val="vi-VN"/>
        </w:rPr>
        <w:t xml:space="preserve">co-precipitation method </w:t>
      </w:r>
      <w:r w:rsidRPr="00F84E67">
        <w:rPr>
          <w:lang w:val="en-GB"/>
        </w:rPr>
        <w:t>resulting in</w:t>
      </w:r>
      <w:r w:rsidRPr="00F84E67">
        <w:rPr>
          <w:lang w:val="vi-VN"/>
        </w:rPr>
        <w:t xml:space="preserve"> high </w:t>
      </w:r>
      <w:r w:rsidRPr="008F2713">
        <w:t>crystallinity</w:t>
      </w:r>
      <w:r w:rsidRPr="00F84E67">
        <w:rPr>
          <w:lang w:val="en-GB"/>
        </w:rPr>
        <w:t>,</w:t>
      </w:r>
      <w:r w:rsidRPr="00F84E67">
        <w:rPr>
          <w:lang w:val="vi-VN"/>
        </w:rPr>
        <w:t xml:space="preserve"> purity and stabilized the system by PVP surfactant. With </w:t>
      </w:r>
      <w:r w:rsidRPr="00F84E67">
        <w:rPr>
          <w:lang w:val="en-GB"/>
        </w:rPr>
        <w:t xml:space="preserve">an </w:t>
      </w:r>
      <w:r w:rsidRPr="00F84E67">
        <w:rPr>
          <w:lang w:val="vi-VN"/>
        </w:rPr>
        <w:t>adsorption capacity of 30.</w:t>
      </w:r>
      <w:r w:rsidRPr="00F84E67">
        <w:t>4</w:t>
      </w:r>
      <w:r w:rsidRPr="00F84E67">
        <w:rPr>
          <w:lang w:val="vi-VN"/>
        </w:rPr>
        <w:t xml:space="preserve"> mg.g</w:t>
      </w:r>
      <w:r w:rsidRPr="00F84E67">
        <w:rPr>
          <w:vertAlign w:val="superscript"/>
          <w:lang w:val="vi-VN"/>
        </w:rPr>
        <w:t>-1</w:t>
      </w:r>
      <w:r w:rsidRPr="00F84E67">
        <w:rPr>
          <w:lang w:val="vi-VN"/>
        </w:rPr>
        <w:t xml:space="preserve"> at 12 h, the initial </w:t>
      </w:r>
      <w:r w:rsidRPr="00F84E67">
        <w:rPr>
          <w:lang w:val="vi-VN"/>
        </w:rPr>
        <w:t xml:space="preserve">concentration of 5 ppm, the weight of the material 50 mg and the pH </w:t>
      </w:r>
      <w:r w:rsidRPr="00F84E67">
        <w:t>10</w:t>
      </w:r>
      <w:r w:rsidRPr="00F84E67">
        <w:rPr>
          <w:lang w:val="vi-VN"/>
        </w:rPr>
        <w:t xml:space="preserve">.5, the highest efficiency was achieved at 91.8% </w:t>
      </w:r>
      <w:r w:rsidRPr="00F84E67">
        <w:t>for</w:t>
      </w:r>
      <w:r w:rsidRPr="00F84E67">
        <w:rPr>
          <w:lang w:val="vi-VN"/>
        </w:rPr>
        <w:t xml:space="preserve"> adsorbing MB. </w:t>
      </w:r>
      <w:r w:rsidRPr="00F84E67">
        <w:t>The results also showed that the MB adsorption process with FGP-3 was consistent with the second-order hypothetical model and was isothermal according to the Freundlich adsorption model. Moreover, physical adsorption was confirmed based on the Dubinin-Radushkevich model.</w:t>
      </w:r>
    </w:p>
    <w:p w14:paraId="25B5FAE9" w14:textId="77777777" w:rsidR="008F2713" w:rsidRDefault="008F2713" w:rsidP="008F2713">
      <w:pPr>
        <w:pStyle w:val="Text"/>
        <w:sectPr w:rsidR="008F2713" w:rsidSect="000E0E50">
          <w:type w:val="continuous"/>
          <w:pgSz w:w="10773" w:h="15309" w:code="150"/>
          <w:pgMar w:top="1418" w:right="1021" w:bottom="1418" w:left="1021" w:header="851" w:footer="851" w:gutter="0"/>
          <w:cols w:num="2" w:space="454"/>
          <w:docGrid w:linePitch="360"/>
        </w:sectPr>
      </w:pPr>
    </w:p>
    <w:p w14:paraId="14A3C61E" w14:textId="77777777" w:rsidR="008F2713" w:rsidRPr="00F84E67" w:rsidRDefault="008F2713" w:rsidP="003C4AC3">
      <w:pPr>
        <w:pStyle w:val="Subtitle"/>
        <w:ind w:firstLine="0"/>
        <w:rPr>
          <w:bCs/>
          <w:lang w:val="vi-VN"/>
        </w:rPr>
      </w:pPr>
      <w:r w:rsidRPr="00F84E67">
        <w:t>REFERENCES</w:t>
      </w:r>
    </w:p>
    <w:p w14:paraId="69F42850" w14:textId="77777777" w:rsidR="008F2713" w:rsidRDefault="008F2713" w:rsidP="008F2713">
      <w:pPr>
        <w:pStyle w:val="References"/>
        <w:sectPr w:rsidR="008F2713" w:rsidSect="00E710A0">
          <w:type w:val="continuous"/>
          <w:pgSz w:w="10773" w:h="15309" w:code="150"/>
          <w:pgMar w:top="1418" w:right="1021" w:bottom="1418" w:left="1021" w:header="851" w:footer="851" w:gutter="0"/>
          <w:cols w:space="454"/>
          <w:docGrid w:linePitch="360"/>
        </w:sectPr>
      </w:pPr>
    </w:p>
    <w:p w14:paraId="56BB86D6" w14:textId="77777777" w:rsidR="008F2713" w:rsidRPr="00F84E67" w:rsidRDefault="008F2713" w:rsidP="008F2713">
      <w:pPr>
        <w:pStyle w:val="References"/>
      </w:pPr>
      <w:r w:rsidRPr="00F84E67">
        <w:t>Brisebois, P., &amp; Siaj, M. (2020). Harvesting graphene oxide–</w:t>
      </w:r>
      <w:r w:rsidRPr="00F84E67">
        <w:rPr>
          <w:lang w:val="en-GB"/>
        </w:rPr>
        <w:t>years</w:t>
      </w:r>
      <w:r w:rsidRPr="00F84E67">
        <w:t xml:space="preserve"> 1859 to 2019: a review of its structure, synthesis, properties and exfoliation, </w:t>
      </w:r>
      <w:r w:rsidRPr="00F84E67">
        <w:rPr>
          <w:i/>
          <w:iCs/>
        </w:rPr>
        <w:t>Journal of Materials Chemistry C</w:t>
      </w:r>
      <w:r w:rsidRPr="00F84E67">
        <w:t xml:space="preserve">, </w:t>
      </w:r>
      <w:r w:rsidRPr="00F84E67">
        <w:rPr>
          <w:i/>
          <w:iCs/>
        </w:rPr>
        <w:t>8</w:t>
      </w:r>
      <w:r w:rsidRPr="00F84E67">
        <w:t>(5), 1517-1547.</w:t>
      </w:r>
    </w:p>
    <w:p w14:paraId="7330B0A8" w14:textId="77777777" w:rsidR="008F2713" w:rsidRPr="00F84E67" w:rsidRDefault="008F2713" w:rsidP="008F2713">
      <w:pPr>
        <w:pStyle w:val="References"/>
      </w:pPr>
      <w:r w:rsidRPr="00F84E67">
        <w:t xml:space="preserve">Chaukura, N., Murimba, E.C., &amp; Gwenzi, W. (2017). Sorptive removal of methylene blue from simulated wastewater using biochars derived from pulp and paper sludge, </w:t>
      </w:r>
      <w:r w:rsidRPr="00F84E67">
        <w:rPr>
          <w:i/>
          <w:iCs/>
        </w:rPr>
        <w:t>Environmental Technology &amp; Innovation</w:t>
      </w:r>
      <w:r w:rsidRPr="00F84E67">
        <w:t xml:space="preserve">, </w:t>
      </w:r>
      <w:r w:rsidRPr="00F84E67">
        <w:rPr>
          <w:i/>
          <w:iCs/>
        </w:rPr>
        <w:t>8</w:t>
      </w:r>
      <w:r w:rsidRPr="00F84E67">
        <w:t>, 132-140.</w:t>
      </w:r>
    </w:p>
    <w:p w14:paraId="2DF612F8" w14:textId="77777777" w:rsidR="008F2713" w:rsidRPr="00F84E67" w:rsidRDefault="008F2713" w:rsidP="008F2713">
      <w:pPr>
        <w:pStyle w:val="References"/>
      </w:pPr>
      <w:r w:rsidRPr="00F84E67">
        <w:rPr>
          <w:lang w:val="de-DE"/>
        </w:rPr>
        <w:t xml:space="preserve">Chen, W., Li, S., Chen, C., &amp; Yan, L. (2011).  </w:t>
      </w:r>
      <w:r w:rsidRPr="00F84E67">
        <w:t xml:space="preserve">Self‐assembly and embedding of nanoparticles by in situ reduced graphene </w:t>
      </w:r>
      <w:r w:rsidRPr="00F84E67">
        <w:rPr>
          <w:lang w:val="en-GB"/>
        </w:rPr>
        <w:t>for</w:t>
      </w:r>
      <w:r w:rsidRPr="00F84E67">
        <w:t xml:space="preserve"> preparation of a 3D graphene/nanoparticle aerogel, </w:t>
      </w:r>
      <w:r w:rsidRPr="00F84E67">
        <w:rPr>
          <w:i/>
          <w:iCs/>
        </w:rPr>
        <w:t>Advanced materials</w:t>
      </w:r>
      <w:r w:rsidRPr="00F84E67">
        <w:t xml:space="preserve">, </w:t>
      </w:r>
      <w:r w:rsidRPr="00F84E67">
        <w:rPr>
          <w:i/>
          <w:iCs/>
        </w:rPr>
        <w:t>23</w:t>
      </w:r>
      <w:r w:rsidRPr="00F84E67">
        <w:t>(47), 5679-5683.</w:t>
      </w:r>
    </w:p>
    <w:p w14:paraId="54428A56" w14:textId="77777777" w:rsidR="008F2713" w:rsidRPr="00F84E67" w:rsidRDefault="008F2713" w:rsidP="008F2713">
      <w:pPr>
        <w:pStyle w:val="References"/>
      </w:pPr>
      <w:r w:rsidRPr="00F84E67">
        <w:t xml:space="preserve">Cui, P., Lee, J., Hwang, E., &amp; Lee, H. (2011).One-pot reduction of graphene oxide at subzero temperatures, </w:t>
      </w:r>
      <w:r w:rsidRPr="00F84E67">
        <w:rPr>
          <w:i/>
          <w:iCs/>
        </w:rPr>
        <w:t>Chemical Communications,</w:t>
      </w:r>
      <w:r w:rsidRPr="00F84E67">
        <w:t xml:space="preserve"> </w:t>
      </w:r>
      <w:r w:rsidRPr="00F84E67">
        <w:rPr>
          <w:i/>
          <w:iCs/>
        </w:rPr>
        <w:t>47</w:t>
      </w:r>
      <w:r w:rsidRPr="00F84E67">
        <w:t>(45), 12370-12372.</w:t>
      </w:r>
    </w:p>
    <w:p w14:paraId="17C1E1B5" w14:textId="77777777" w:rsidR="008F2713" w:rsidRPr="00F84E67" w:rsidRDefault="008F2713" w:rsidP="008F2713">
      <w:pPr>
        <w:pStyle w:val="References"/>
      </w:pPr>
      <w:r w:rsidRPr="00F84E67">
        <w:t>Cui, Y. Wang, L. Gao, L. Hu, L. Yan, Q. Wei, &amp; B. Du</w:t>
      </w:r>
      <w:r>
        <w:t>. (</w:t>
      </w:r>
      <w:r w:rsidRPr="00F84E67">
        <w:t>2015)</w:t>
      </w:r>
      <w:r>
        <w:t>.</w:t>
      </w:r>
      <w:r w:rsidRPr="00F84E67">
        <w:t xml:space="preserve"> EDTA functionalized magnetic graphene oxide for removal of Pb (II), Hg (</w:t>
      </w:r>
      <w:r w:rsidRPr="00F84E67">
        <w:rPr>
          <w:lang w:val="en-GB"/>
        </w:rPr>
        <w:t>II</w:t>
      </w:r>
      <w:r w:rsidRPr="00F84E67">
        <w:t xml:space="preserve">) and Cu (II) in water treatment: adsorption </w:t>
      </w:r>
      <w:r w:rsidRPr="00F84E67">
        <w:rPr>
          <w:lang w:val="en-GB"/>
        </w:rPr>
        <w:t>mechanism</w:t>
      </w:r>
      <w:r w:rsidRPr="00F84E67">
        <w:t xml:space="preserve"> and separation property, </w:t>
      </w:r>
      <w:r w:rsidRPr="00F84E67">
        <w:rPr>
          <w:i/>
          <w:iCs/>
        </w:rPr>
        <w:t>Chemical engineering journal</w:t>
      </w:r>
      <w:r>
        <w:t>,</w:t>
      </w:r>
      <w:r w:rsidRPr="00F84E67">
        <w:t xml:space="preserve"> </w:t>
      </w:r>
      <w:r w:rsidRPr="00F84E67">
        <w:rPr>
          <w:i/>
          <w:iCs/>
        </w:rPr>
        <w:t>281</w:t>
      </w:r>
      <w:r>
        <w:t>,</w:t>
      </w:r>
      <w:r w:rsidRPr="00F84E67">
        <w:t xml:space="preserve">  1-10.</w:t>
      </w:r>
    </w:p>
    <w:p w14:paraId="03FC95C7" w14:textId="77777777" w:rsidR="008F2713" w:rsidRPr="00F84E67" w:rsidRDefault="008F2713" w:rsidP="008F2713">
      <w:pPr>
        <w:pStyle w:val="References"/>
      </w:pPr>
      <w:r w:rsidRPr="00F84E67">
        <w:t xml:space="preserve">Dreyer, D.R., Park, S., Bielawski, C.W., &amp; Ruoff, R.S. (2010). The chemistry of graphene oxide, </w:t>
      </w:r>
      <w:r w:rsidRPr="00F84E67">
        <w:rPr>
          <w:i/>
          <w:iCs/>
        </w:rPr>
        <w:t xml:space="preserve">Chemical </w:t>
      </w:r>
      <w:r>
        <w:rPr>
          <w:i/>
          <w:iCs/>
        </w:rPr>
        <w:t>S</w:t>
      </w:r>
      <w:r w:rsidRPr="00F84E67">
        <w:rPr>
          <w:i/>
          <w:iCs/>
        </w:rPr>
        <w:t>ociety R</w:t>
      </w:r>
      <w:r w:rsidRPr="00F84E67">
        <w:rPr>
          <w:i/>
          <w:iCs/>
          <w:lang w:val="en-GB"/>
        </w:rPr>
        <w:t>eviews</w:t>
      </w:r>
      <w:r w:rsidRPr="00F84E67">
        <w:rPr>
          <w:i/>
          <w:iCs/>
        </w:rPr>
        <w:t>,</w:t>
      </w:r>
      <w:r w:rsidRPr="00F84E67">
        <w:t xml:space="preserve"> </w:t>
      </w:r>
      <w:r w:rsidRPr="00F84E67">
        <w:rPr>
          <w:i/>
          <w:iCs/>
        </w:rPr>
        <w:t>39</w:t>
      </w:r>
      <w:r w:rsidRPr="00F84E67">
        <w:t>(1), 228-240.</w:t>
      </w:r>
    </w:p>
    <w:p w14:paraId="0C0AAF8A" w14:textId="77777777" w:rsidR="008F2713" w:rsidRPr="00F84E67" w:rsidRDefault="008F2713" w:rsidP="008F2713">
      <w:pPr>
        <w:pStyle w:val="References"/>
      </w:pPr>
      <w:r w:rsidRPr="00F84E67">
        <w:t>El-Shafai, N.</w:t>
      </w:r>
      <w:r>
        <w:t xml:space="preserve"> </w:t>
      </w:r>
      <w:r w:rsidRPr="00F84E67">
        <w:t>M.</w:t>
      </w:r>
      <w:r>
        <w:t>,</w:t>
      </w:r>
      <w:r w:rsidRPr="00F84E67">
        <w:t xml:space="preserve"> Abdelfatah, M.</w:t>
      </w:r>
      <w:r>
        <w:t xml:space="preserve"> </w:t>
      </w:r>
      <w:r w:rsidRPr="00F84E67">
        <w:t>M., El-Khouly, M.</w:t>
      </w:r>
      <w:r>
        <w:t xml:space="preserve"> </w:t>
      </w:r>
      <w:r w:rsidRPr="00F84E67">
        <w:t>E., El-Mehasseb, I.</w:t>
      </w:r>
      <w:r>
        <w:t xml:space="preserve"> </w:t>
      </w:r>
      <w:r w:rsidRPr="00F84E67">
        <w:t>M., El-Shaer, A., Ramadan, M.</w:t>
      </w:r>
      <w:r>
        <w:t xml:space="preserve"> </w:t>
      </w:r>
      <w:r w:rsidRPr="00F84E67">
        <w:t>S., Masoud, M.</w:t>
      </w:r>
      <w:r>
        <w:t xml:space="preserve"> </w:t>
      </w:r>
      <w:r w:rsidRPr="00F84E67">
        <w:t>S., &amp; El-Kemary, M.</w:t>
      </w:r>
      <w:r>
        <w:t xml:space="preserve"> </w:t>
      </w:r>
      <w:r w:rsidRPr="00F84E67">
        <w:t xml:space="preserve">A. (2020). </w:t>
      </w:r>
      <w:r w:rsidRPr="00F84E67">
        <w:t>Magnetite nano-spherical quantum dots decorated graphene oxide nano sheet (GO/Fe</w:t>
      </w:r>
      <w:r w:rsidRPr="00F84E67">
        <w:rPr>
          <w:vertAlign w:val="subscript"/>
        </w:rPr>
        <w:t>3</w:t>
      </w:r>
      <w:r w:rsidRPr="00F84E67">
        <w:t>O</w:t>
      </w:r>
      <w:r w:rsidRPr="00F84E67">
        <w:rPr>
          <w:vertAlign w:val="subscript"/>
        </w:rPr>
        <w:t>4</w:t>
      </w:r>
      <w:r w:rsidRPr="00F84E67">
        <w:t xml:space="preserve">): electrochemical properties and applications for removal heavy metals, pesticide and solar cell. </w:t>
      </w:r>
      <w:r w:rsidRPr="00F84E67">
        <w:rPr>
          <w:i/>
          <w:iCs/>
        </w:rPr>
        <w:t>Applied Surface Science</w:t>
      </w:r>
      <w:r w:rsidRPr="00F84E67">
        <w:t xml:space="preserve">, </w:t>
      </w:r>
      <w:r w:rsidRPr="00F84E67">
        <w:rPr>
          <w:i/>
          <w:iCs/>
        </w:rPr>
        <w:t>506</w:t>
      </w:r>
      <w:r w:rsidRPr="00F84E67">
        <w:t>, 144896.</w:t>
      </w:r>
    </w:p>
    <w:p w14:paraId="10FCF61C" w14:textId="77777777" w:rsidR="008F2713" w:rsidRPr="00F84E67" w:rsidRDefault="008F2713" w:rsidP="008F2713">
      <w:pPr>
        <w:pStyle w:val="References"/>
      </w:pPr>
      <w:r w:rsidRPr="00F84E67">
        <w:t xml:space="preserve">Feng, J., Mao, J., Wen, X., &amp; Tu, M. (2011). Ultrasonic-assisted in situ synthesis and characterization of </w:t>
      </w:r>
      <w:r w:rsidRPr="00F84E67">
        <w:rPr>
          <w:lang w:val="en-GB"/>
        </w:rPr>
        <w:t>superparamagnetic</w:t>
      </w:r>
      <w:r w:rsidRPr="00F84E67">
        <w:t xml:space="preserve"> Fe</w:t>
      </w:r>
      <w:r w:rsidRPr="00F84E67">
        <w:rPr>
          <w:vertAlign w:val="subscript"/>
        </w:rPr>
        <w:t>3</w:t>
      </w:r>
      <w:r w:rsidRPr="00F84E67">
        <w:t>O</w:t>
      </w:r>
      <w:r w:rsidRPr="00F84E67">
        <w:rPr>
          <w:vertAlign w:val="subscript"/>
        </w:rPr>
        <w:t>4</w:t>
      </w:r>
      <w:r w:rsidRPr="00F84E67">
        <w:t xml:space="preserve"> nanoparticles, </w:t>
      </w:r>
      <w:r w:rsidRPr="00F84E67">
        <w:rPr>
          <w:i/>
          <w:iCs/>
        </w:rPr>
        <w:t>Journal of Alloys and Compounds</w:t>
      </w:r>
      <w:r w:rsidRPr="00F84E67">
        <w:t xml:space="preserve">, </w:t>
      </w:r>
      <w:r w:rsidRPr="00F84E67">
        <w:rPr>
          <w:i/>
          <w:iCs/>
        </w:rPr>
        <w:t>509</w:t>
      </w:r>
      <w:r w:rsidRPr="00F84E67">
        <w:t>(37), 9093-9097.</w:t>
      </w:r>
    </w:p>
    <w:p w14:paraId="537A53C2" w14:textId="77777777" w:rsidR="008F2713" w:rsidRPr="00F84E67" w:rsidRDefault="008F2713" w:rsidP="008F2713">
      <w:pPr>
        <w:pStyle w:val="References"/>
      </w:pPr>
      <w:r w:rsidRPr="00F84E67">
        <w:rPr>
          <w:lang w:val="de-DE"/>
        </w:rPr>
        <w:t xml:space="preserve">Guan, D., Fan, M., Wang, J., Zhang, Y., Liu, Q., &amp; Jing, X. (2010).  </w:t>
      </w:r>
      <w:r w:rsidRPr="00F84E67">
        <w:t xml:space="preserve">Synthesis and properties of magnetic solid superacid: </w:t>
      </w:r>
      <w:r w:rsidRPr="00F84E67">
        <w:rPr>
          <w:lang w:val="en-GB"/>
        </w:rPr>
        <w:t>SO</w:t>
      </w:r>
      <w:r w:rsidRPr="00F84E67">
        <w:rPr>
          <w:vertAlign w:val="subscript"/>
          <w:lang w:val="en-GB"/>
        </w:rPr>
        <w:t>4</w:t>
      </w:r>
      <w:r w:rsidRPr="00F84E67">
        <w:rPr>
          <w:vertAlign w:val="superscript"/>
          <w:lang w:val="en-GB"/>
        </w:rPr>
        <w:t>2</w:t>
      </w:r>
      <w:r w:rsidRPr="00F84E67">
        <w:rPr>
          <w:vertAlign w:val="superscript"/>
        </w:rPr>
        <w:t>−</w:t>
      </w:r>
      <w:r w:rsidRPr="00F84E67">
        <w:t>/ZrO</w:t>
      </w:r>
      <w:r w:rsidRPr="00F84E67">
        <w:rPr>
          <w:vertAlign w:val="subscript"/>
        </w:rPr>
        <w:t>2</w:t>
      </w:r>
      <w:r w:rsidRPr="00F84E67">
        <w:t>–B</w:t>
      </w:r>
      <w:r w:rsidRPr="00F84E67">
        <w:rPr>
          <w:vertAlign w:val="subscript"/>
        </w:rPr>
        <w:t>2</w:t>
      </w:r>
      <w:r w:rsidRPr="00F84E67">
        <w:t>O</w:t>
      </w:r>
      <w:r w:rsidRPr="00F84E67">
        <w:rPr>
          <w:vertAlign w:val="subscript"/>
        </w:rPr>
        <w:t>3</w:t>
      </w:r>
      <w:r w:rsidRPr="00F84E67">
        <w:t>–Fe</w:t>
      </w:r>
      <w:r w:rsidRPr="00F84E67">
        <w:rPr>
          <w:vertAlign w:val="subscript"/>
        </w:rPr>
        <w:t>3</w:t>
      </w:r>
      <w:r w:rsidRPr="00F84E67">
        <w:t>O</w:t>
      </w:r>
      <w:r w:rsidRPr="00F84E67">
        <w:rPr>
          <w:vertAlign w:val="subscript"/>
        </w:rPr>
        <w:t>4</w:t>
      </w:r>
      <w:r w:rsidRPr="00F84E67">
        <w:t xml:space="preserve">, </w:t>
      </w:r>
      <w:r w:rsidRPr="00F84E67">
        <w:rPr>
          <w:i/>
          <w:iCs/>
        </w:rPr>
        <w:t>Materials Chemistry and Physics</w:t>
      </w:r>
      <w:r w:rsidRPr="00F84E67">
        <w:t xml:space="preserve">, </w:t>
      </w:r>
      <w:r w:rsidRPr="00F84E67">
        <w:rPr>
          <w:i/>
          <w:iCs/>
        </w:rPr>
        <w:t>122</w:t>
      </w:r>
      <w:r w:rsidRPr="00F84E67">
        <w:t>(1), 278-283.</w:t>
      </w:r>
    </w:p>
    <w:p w14:paraId="16EC0D2D" w14:textId="77777777" w:rsidR="008F2713" w:rsidRPr="00F84E67" w:rsidRDefault="008F2713" w:rsidP="008F2713">
      <w:pPr>
        <w:pStyle w:val="References"/>
        <w:rPr>
          <w:lang w:val="vi-VN"/>
        </w:rPr>
      </w:pPr>
      <w:r w:rsidRPr="00F84E67">
        <w:t xml:space="preserve">Hummers, J.W.S., &amp; Offeman, R.E. (1958). Preparation of graphitic oxide, </w:t>
      </w:r>
      <w:r w:rsidRPr="00F84E67">
        <w:rPr>
          <w:i/>
          <w:iCs/>
        </w:rPr>
        <w:t>Journal of the american chemical society,</w:t>
      </w:r>
      <w:r w:rsidRPr="00F84E67">
        <w:t xml:space="preserve"> </w:t>
      </w:r>
      <w:r w:rsidRPr="00F84E67">
        <w:rPr>
          <w:i/>
          <w:iCs/>
        </w:rPr>
        <w:t>80</w:t>
      </w:r>
      <w:r w:rsidRPr="00F84E67">
        <w:t>(6), 1339-1339.</w:t>
      </w:r>
    </w:p>
    <w:p w14:paraId="78C226B3" w14:textId="77777777" w:rsidR="008F2713" w:rsidRPr="00F84E67" w:rsidRDefault="008F2713" w:rsidP="008F2713">
      <w:pPr>
        <w:pStyle w:val="References"/>
        <w:ind w:right="-115"/>
      </w:pPr>
      <w:r w:rsidRPr="00F84E67">
        <w:t xml:space="preserve">Ibrahim, I., Yunus, S., &amp; Hashim, M. (2013). Relative performance of isopropylamine, pyrrole and pyridine as corrosion inhibitors for carbon steels in saline water at mildly elevated temperatures, </w:t>
      </w:r>
      <w:r w:rsidRPr="00F84E67">
        <w:rPr>
          <w:i/>
          <w:iCs/>
        </w:rPr>
        <w:t>International Journal of Scientific &amp; Engineering Research,</w:t>
      </w:r>
      <w:r w:rsidRPr="00F84E67">
        <w:t xml:space="preserve"> </w:t>
      </w:r>
      <w:r w:rsidRPr="00F84E67">
        <w:rPr>
          <w:i/>
          <w:iCs/>
        </w:rPr>
        <w:t>4</w:t>
      </w:r>
      <w:r w:rsidRPr="00F84E67">
        <w:t>(2), 1-12.</w:t>
      </w:r>
    </w:p>
    <w:p w14:paraId="4B539970" w14:textId="77777777" w:rsidR="008F2713" w:rsidRPr="00F84E67" w:rsidRDefault="008F2713" w:rsidP="008F2713">
      <w:pPr>
        <w:pStyle w:val="References"/>
        <w:rPr>
          <w:lang w:val="de-DE"/>
        </w:rPr>
      </w:pPr>
      <w:r w:rsidRPr="00F84E67">
        <w:rPr>
          <w:lang w:val="en-GB"/>
        </w:rPr>
        <w:t>Iftekhar</w:t>
      </w:r>
      <w:r w:rsidRPr="00F84E67">
        <w:t xml:space="preserve">, S., Ramasamy, D.L., Srivastava, V., Asif, M.B., &amp; Sillanpa. (2018). M. Understanding the factors affecting the adsorption of Lanthanum using different adsorbents: a critical review. </w:t>
      </w:r>
      <w:r w:rsidRPr="00F84E67">
        <w:rPr>
          <w:i/>
          <w:iCs/>
          <w:lang w:val="de-DE"/>
        </w:rPr>
        <w:t>Chemosphere,</w:t>
      </w:r>
      <w:r w:rsidRPr="00F84E67">
        <w:rPr>
          <w:lang w:val="de-DE"/>
        </w:rPr>
        <w:t xml:space="preserve"> </w:t>
      </w:r>
      <w:r w:rsidRPr="00F84E67">
        <w:rPr>
          <w:i/>
          <w:iCs/>
          <w:lang w:val="de-DE"/>
        </w:rPr>
        <w:t>204</w:t>
      </w:r>
      <w:r w:rsidRPr="00F84E67">
        <w:rPr>
          <w:lang w:val="de-DE"/>
        </w:rPr>
        <w:t>,  413-430.</w:t>
      </w:r>
    </w:p>
    <w:p w14:paraId="613233A1" w14:textId="77777777" w:rsidR="008F2713" w:rsidRPr="00F84E67" w:rsidRDefault="008F2713" w:rsidP="008F2713">
      <w:pPr>
        <w:pStyle w:val="References"/>
      </w:pPr>
      <w:r w:rsidRPr="00F84E67">
        <w:rPr>
          <w:lang w:val="de-DE"/>
        </w:rPr>
        <w:t xml:space="preserve">Jamal, R., Zhang, L., Wang, M., Zhao, Q., &amp; Abdiryim, T. (2016). </w:t>
      </w:r>
      <w:r w:rsidRPr="00F84E67">
        <w:t>Synthesis of poly (3, 4-</w:t>
      </w:r>
      <w:r w:rsidRPr="00F84E67">
        <w:rPr>
          <w:lang w:val="en-GB"/>
        </w:rPr>
        <w:t>propylenedioxythiophene</w:t>
      </w:r>
      <w:r w:rsidRPr="00F84E67">
        <w:t>)/MnO</w:t>
      </w:r>
      <w:r w:rsidRPr="00F84E67">
        <w:rPr>
          <w:vertAlign w:val="subscript"/>
        </w:rPr>
        <w:t>2</w:t>
      </w:r>
      <w:r w:rsidRPr="00F84E67">
        <w:t xml:space="preserve"> composites and </w:t>
      </w:r>
      <w:r w:rsidRPr="00F84E67">
        <w:lastRenderedPageBreak/>
        <w:t xml:space="preserve">their applications in the adsorptive removal of methylene blue, </w:t>
      </w:r>
      <w:r w:rsidRPr="00F84E67">
        <w:rPr>
          <w:i/>
          <w:iCs/>
        </w:rPr>
        <w:t>Progress in Natural Science: Materials International,</w:t>
      </w:r>
      <w:r w:rsidRPr="00F84E67">
        <w:t xml:space="preserve"> </w:t>
      </w:r>
      <w:r w:rsidRPr="00F84E67">
        <w:rPr>
          <w:i/>
          <w:iCs/>
        </w:rPr>
        <w:t>26</w:t>
      </w:r>
      <w:r w:rsidRPr="00F84E67">
        <w:t>(1), 32-40.</w:t>
      </w:r>
    </w:p>
    <w:p w14:paraId="5DF38E70" w14:textId="77777777" w:rsidR="008F2713" w:rsidRPr="00F84E67" w:rsidRDefault="008F2713" w:rsidP="008F2713">
      <w:pPr>
        <w:pStyle w:val="References"/>
      </w:pPr>
      <w:r w:rsidRPr="00F84E67">
        <w:t xml:space="preserve">Le, T.M.T., Pham, M.C., Tran, H.T, Hoang, M.N., Nguyen, H.H., &amp; Mai, T.P. (2020). Fabrication of Magnetic Iron </w:t>
      </w:r>
      <w:r w:rsidRPr="00F84E67">
        <w:rPr>
          <w:lang w:val="en-GB"/>
        </w:rPr>
        <w:t>Oxide</w:t>
      </w:r>
      <w:r w:rsidRPr="00F84E67">
        <w:t xml:space="preserve">/Graphene Oxide Nanocomposites for Removal of Lead Ions from Water, </w:t>
      </w:r>
      <w:r w:rsidRPr="00F84E67">
        <w:rPr>
          <w:i/>
          <w:iCs/>
        </w:rPr>
        <w:t>Chemical engineering</w:t>
      </w:r>
      <w:r w:rsidRPr="00F84E67">
        <w:t xml:space="preserve">, </w:t>
      </w:r>
      <w:r w:rsidRPr="00F84E67">
        <w:rPr>
          <w:i/>
          <w:iCs/>
        </w:rPr>
        <w:t>78</w:t>
      </w:r>
      <w:r w:rsidRPr="00F84E67">
        <w:t>.</w:t>
      </w:r>
    </w:p>
    <w:p w14:paraId="63AC4E8E" w14:textId="77777777" w:rsidR="008F2713" w:rsidRPr="00F84E67" w:rsidRDefault="008F2713" w:rsidP="008F2713">
      <w:pPr>
        <w:pStyle w:val="References"/>
      </w:pPr>
      <w:r w:rsidRPr="00F84E67">
        <w:t xml:space="preserve">Lipson, H.S., &amp; Stokes. A. (1942). The structure of graphite, </w:t>
      </w:r>
      <w:r w:rsidRPr="00F84E67">
        <w:rPr>
          <w:lang w:val="en-GB"/>
        </w:rPr>
        <w:t>Proceedings</w:t>
      </w:r>
      <w:r w:rsidRPr="00F84E67">
        <w:t xml:space="preserve"> of the Royal Society of London. Series A. </w:t>
      </w:r>
      <w:r w:rsidRPr="00F84E67">
        <w:rPr>
          <w:i/>
          <w:iCs/>
        </w:rPr>
        <w:t>Mathematical and Physical Sciences</w:t>
      </w:r>
      <w:r w:rsidRPr="00F84E67">
        <w:t xml:space="preserve">, </w:t>
      </w:r>
      <w:r w:rsidRPr="00F84E67">
        <w:rPr>
          <w:i/>
          <w:iCs/>
        </w:rPr>
        <w:t>181</w:t>
      </w:r>
      <w:r w:rsidRPr="00F84E67">
        <w:t>(984), 101-105.</w:t>
      </w:r>
    </w:p>
    <w:p w14:paraId="644E7EB1" w14:textId="77777777" w:rsidR="008F2713" w:rsidRPr="00F84E67" w:rsidRDefault="008F2713" w:rsidP="008F2713">
      <w:pPr>
        <w:pStyle w:val="References"/>
      </w:pPr>
      <w:r w:rsidRPr="00F84E67">
        <w:t xml:space="preserve">Luong, H.V.T., Nguyen, N.H., Khuu, G.H., Bui, Y.P., Thieu,.Q.Q.V., Ngo, T.N.M., &amp; Tran, T.B.Q. (2022). Preparation of Fe3O4/Hap nanoparticles from eggshells with highly adsorption capacity for methylene blue. </w:t>
      </w:r>
      <w:r w:rsidRPr="00F84E67">
        <w:rPr>
          <w:i/>
          <w:iCs/>
        </w:rPr>
        <w:t>Can Tho University Journal of Science</w:t>
      </w:r>
      <w:r w:rsidRPr="00F84E67">
        <w:t xml:space="preserve">, </w:t>
      </w:r>
      <w:r w:rsidRPr="00F84E67">
        <w:rPr>
          <w:i/>
          <w:iCs/>
        </w:rPr>
        <w:t>14</w:t>
      </w:r>
      <w:r w:rsidRPr="00F84E67">
        <w:t>(2),18-27.</w:t>
      </w:r>
    </w:p>
    <w:p w14:paraId="325F35BA" w14:textId="77777777" w:rsidR="008F2713" w:rsidRPr="00F84E67" w:rsidRDefault="008F2713" w:rsidP="008F2713">
      <w:pPr>
        <w:pStyle w:val="References"/>
      </w:pPr>
      <w:r w:rsidRPr="00F84E67">
        <w:rPr>
          <w:lang w:val="en-GB"/>
        </w:rPr>
        <w:t>Mashkoor</w:t>
      </w:r>
      <w:r w:rsidRPr="00F84E67">
        <w:t xml:space="preserve">, F., &amp; Nasar, A. (2020). Magsorbents: Potential candidates in wastewater treatment technology–A review on the removal of methylene blue dye. </w:t>
      </w:r>
      <w:r w:rsidRPr="00F84E67">
        <w:rPr>
          <w:i/>
          <w:iCs/>
        </w:rPr>
        <w:t>Journal of magnetism and magnetic materials</w:t>
      </w:r>
      <w:r w:rsidRPr="00F84E67">
        <w:t xml:space="preserve">, </w:t>
      </w:r>
      <w:r w:rsidRPr="00F84E67">
        <w:rPr>
          <w:i/>
          <w:iCs/>
        </w:rPr>
        <w:t>500</w:t>
      </w:r>
      <w:r w:rsidRPr="00F84E67">
        <w:t>, 166408.</w:t>
      </w:r>
    </w:p>
    <w:p w14:paraId="099CE9DB" w14:textId="77777777" w:rsidR="008F2713" w:rsidRPr="00F84E67" w:rsidRDefault="008F2713" w:rsidP="008F2713">
      <w:pPr>
        <w:pStyle w:val="References"/>
      </w:pPr>
      <w:r w:rsidRPr="00F84E67">
        <w:t xml:space="preserve">Morimoto, N., Kubo, T., &amp; Nishina, Y. (2016). Tailoring the </w:t>
      </w:r>
      <w:r w:rsidRPr="00F84E67">
        <w:rPr>
          <w:lang w:val="en-GB"/>
        </w:rPr>
        <w:t>oxygen</w:t>
      </w:r>
      <w:r w:rsidRPr="00F84E67">
        <w:t xml:space="preserve"> content of graphite and reduced graphene oxide for specific applications, </w:t>
      </w:r>
      <w:r w:rsidRPr="00F84E67">
        <w:rPr>
          <w:i/>
          <w:iCs/>
        </w:rPr>
        <w:t>Scientific reports,</w:t>
      </w:r>
      <w:r w:rsidRPr="00F84E67">
        <w:t xml:space="preserve"> </w:t>
      </w:r>
      <w:r w:rsidRPr="00F84E67">
        <w:rPr>
          <w:i/>
          <w:iCs/>
        </w:rPr>
        <w:t>6</w:t>
      </w:r>
      <w:r w:rsidRPr="00F84E67">
        <w:t>(1), 1-8.</w:t>
      </w:r>
    </w:p>
    <w:p w14:paraId="63C41C65" w14:textId="77777777" w:rsidR="008F2713" w:rsidRPr="00F84E67" w:rsidRDefault="008F2713" w:rsidP="008F2713">
      <w:pPr>
        <w:pStyle w:val="References"/>
      </w:pPr>
      <w:r w:rsidRPr="00F84E67">
        <w:rPr>
          <w:lang w:val="vi-VN"/>
        </w:rPr>
        <w:t>Mu</w:t>
      </w:r>
      <w:r w:rsidRPr="00F84E67">
        <w:t>n</w:t>
      </w:r>
      <w:r w:rsidRPr="00F84E67">
        <w:rPr>
          <w:lang w:val="vi-VN"/>
        </w:rPr>
        <w:t>oz, Mar</w:t>
      </w:r>
      <w:r w:rsidRPr="00F84E67">
        <w:t>i</w:t>
      </w:r>
      <w:r w:rsidRPr="00F84E67">
        <w:rPr>
          <w:lang w:val="vi-VN"/>
        </w:rPr>
        <w:t>a</w:t>
      </w:r>
      <w:r w:rsidRPr="00F84E67">
        <w:t xml:space="preserve">, P.J., &amp; </w:t>
      </w:r>
      <w:r w:rsidRPr="00F84E67">
        <w:rPr>
          <w:lang w:val="vi-VN"/>
        </w:rPr>
        <w:t>Elizabeth</w:t>
      </w:r>
      <w:r w:rsidRPr="00F84E67">
        <w:t>, C.M. (2018)</w:t>
      </w:r>
      <w:r w:rsidRPr="00F84E67">
        <w:rPr>
          <w:lang w:val="vi-VN"/>
        </w:rPr>
        <w:t xml:space="preserve">. </w:t>
      </w:r>
      <w:r w:rsidRPr="00F84E67">
        <w:rPr>
          <w:i/>
          <w:iCs/>
        </w:rPr>
        <w:t>Prussian blue based batteries</w:t>
      </w:r>
      <w:r w:rsidRPr="00F84E67">
        <w:t>. Springer International Publishing.</w:t>
      </w:r>
    </w:p>
    <w:p w14:paraId="7582447A" w14:textId="77777777" w:rsidR="008F2713" w:rsidRPr="00F84E67" w:rsidRDefault="008F2713" w:rsidP="008F2713">
      <w:pPr>
        <w:pStyle w:val="References"/>
      </w:pPr>
      <w:r w:rsidRPr="00F84E67">
        <w:t>Pham, T.</w:t>
      </w:r>
      <w:r>
        <w:t xml:space="preserve"> </w:t>
      </w:r>
      <w:r w:rsidRPr="00F84E67">
        <w:t>L.</w:t>
      </w:r>
      <w:r>
        <w:t xml:space="preserve"> </w:t>
      </w:r>
      <w:r w:rsidRPr="00F84E67">
        <w:t>H., Nguyen, T.</w:t>
      </w:r>
      <w:r>
        <w:t xml:space="preserve"> </w:t>
      </w:r>
      <w:r w:rsidRPr="00F84E67">
        <w:t>H., Chung, D.</w:t>
      </w:r>
      <w:r>
        <w:t xml:space="preserve"> </w:t>
      </w:r>
      <w:r w:rsidRPr="00F84E67">
        <w:t>G, Nguyen, T., Vu, N.</w:t>
      </w:r>
      <w:r>
        <w:t xml:space="preserve"> </w:t>
      </w:r>
      <w:r w:rsidRPr="00F84E67">
        <w:t>P, Nguyen, V.</w:t>
      </w:r>
      <w:r>
        <w:t xml:space="preserve"> </w:t>
      </w:r>
      <w:r w:rsidRPr="00F84E67">
        <w:t>Q., Tran, Q.</w:t>
      </w:r>
      <w:r>
        <w:t xml:space="preserve"> </w:t>
      </w:r>
      <w:r w:rsidRPr="00F84E67">
        <w:t>H., Dinh, T.</w:t>
      </w:r>
      <w:r>
        <w:t xml:space="preserve"> </w:t>
      </w:r>
      <w:r w:rsidRPr="00F84E67">
        <w:t>M.</w:t>
      </w:r>
      <w:r>
        <w:t xml:space="preserve"> </w:t>
      </w:r>
      <w:r w:rsidRPr="00F84E67">
        <w:t>H., Ho, D. C., &amp; Le, A.</w:t>
      </w:r>
      <w:r>
        <w:t xml:space="preserve"> </w:t>
      </w:r>
      <w:r w:rsidRPr="00F84E67">
        <w:t xml:space="preserve">T. (2016). Facile synthesis and </w:t>
      </w:r>
      <w:r w:rsidRPr="00F84E67">
        <w:rPr>
          <w:lang w:val="en-GB"/>
        </w:rPr>
        <w:t>excellent</w:t>
      </w:r>
      <w:r w:rsidRPr="00F84E67">
        <w:t xml:space="preserve"> </w:t>
      </w:r>
      <w:r w:rsidRPr="00F84E67">
        <w:rPr>
          <w:lang w:val="en-GB"/>
        </w:rPr>
        <w:t>adsorption</w:t>
      </w:r>
      <w:r w:rsidRPr="00F84E67">
        <w:t xml:space="preserve"> property of GO-Fe</w:t>
      </w:r>
      <w:r w:rsidRPr="00F84E67">
        <w:rPr>
          <w:vertAlign w:val="subscript"/>
        </w:rPr>
        <w:t>3</w:t>
      </w:r>
      <w:r w:rsidRPr="00F84E67">
        <w:t>O</w:t>
      </w:r>
      <w:r w:rsidRPr="00F84E67">
        <w:rPr>
          <w:vertAlign w:val="subscript"/>
        </w:rPr>
        <w:t>4</w:t>
      </w:r>
      <w:r w:rsidRPr="00F84E67">
        <w:t xml:space="preserve"> magnetic nanohybrids for removal of organic dyes. </w:t>
      </w:r>
      <w:r w:rsidRPr="00F84E67">
        <w:rPr>
          <w:i/>
          <w:iCs/>
        </w:rPr>
        <w:t>Journal of Nanoscience and Nanotechnology,</w:t>
      </w:r>
      <w:r w:rsidRPr="00F84E67">
        <w:t xml:space="preserve"> </w:t>
      </w:r>
      <w:r w:rsidRPr="00F84E67">
        <w:rPr>
          <w:i/>
          <w:iCs/>
        </w:rPr>
        <w:t>16</w:t>
      </w:r>
      <w:r w:rsidRPr="00F84E67">
        <w:t>(9), 9544-9556.</w:t>
      </w:r>
    </w:p>
    <w:p w14:paraId="2189EAD7" w14:textId="77777777" w:rsidR="008F2713" w:rsidRPr="00F84E67" w:rsidRDefault="008F2713" w:rsidP="008F2713">
      <w:pPr>
        <w:pStyle w:val="References"/>
      </w:pPr>
      <w:r w:rsidRPr="00F84E67">
        <w:t xml:space="preserve">Qin, L., Liang, S., Tang, Y., Tan, X., &amp; Zhou, J. (2015).  </w:t>
      </w:r>
      <w:r w:rsidRPr="00F84E67">
        <w:rPr>
          <w:lang w:val="en-GB"/>
        </w:rPr>
        <w:t>Influence</w:t>
      </w:r>
      <w:r w:rsidRPr="00F84E67">
        <w:t xml:space="preserve"> of PVP on Solvothermal Synthesized Fe</w:t>
      </w:r>
      <w:r w:rsidRPr="00F84E67">
        <w:rPr>
          <w:vertAlign w:val="subscript"/>
        </w:rPr>
        <w:t>3</w:t>
      </w:r>
      <w:r w:rsidRPr="00F84E67">
        <w:t>O</w:t>
      </w:r>
      <w:r w:rsidRPr="00F84E67">
        <w:rPr>
          <w:vertAlign w:val="subscript"/>
        </w:rPr>
        <w:t>4</w:t>
      </w:r>
      <w:r w:rsidRPr="00F84E67">
        <w:t xml:space="preserve">/Graphene Composites as Anodes for Lithium-ion Batteries, </w:t>
      </w:r>
      <w:r w:rsidRPr="00F84E67">
        <w:rPr>
          <w:i/>
          <w:iCs/>
        </w:rPr>
        <w:t>Electrochemistry</w:t>
      </w:r>
      <w:r w:rsidRPr="00F84E67">
        <w:t xml:space="preserve">, </w:t>
      </w:r>
      <w:r w:rsidRPr="00F84E67">
        <w:rPr>
          <w:i/>
          <w:iCs/>
        </w:rPr>
        <w:t>83</w:t>
      </w:r>
      <w:r w:rsidRPr="00F84E67">
        <w:t>(8), 619-623.</w:t>
      </w:r>
    </w:p>
    <w:p w14:paraId="430310F3" w14:textId="77777777" w:rsidR="008F2713" w:rsidRPr="00F84E67" w:rsidRDefault="008F2713" w:rsidP="008F2713">
      <w:pPr>
        <w:pStyle w:val="References"/>
        <w:rPr>
          <w:lang w:val="vi-VN"/>
        </w:rPr>
      </w:pPr>
      <w:r w:rsidRPr="00F84E67">
        <w:t xml:space="preserve">Saini, R.D. (2017). Textile organic dyes: polluting effects </w:t>
      </w:r>
      <w:r w:rsidRPr="00F84E67">
        <w:rPr>
          <w:lang w:val="en-GB"/>
        </w:rPr>
        <w:t>and</w:t>
      </w:r>
      <w:r w:rsidRPr="00F84E67">
        <w:t xml:space="preserve"> elimination methods from textile waste water, </w:t>
      </w:r>
      <w:r w:rsidRPr="00F84E67">
        <w:rPr>
          <w:i/>
          <w:iCs/>
        </w:rPr>
        <w:t>Int J Chem Eng Res</w:t>
      </w:r>
      <w:r w:rsidRPr="00F84E67">
        <w:t xml:space="preserve">, </w:t>
      </w:r>
      <w:r w:rsidRPr="00F84E67">
        <w:rPr>
          <w:i/>
          <w:iCs/>
        </w:rPr>
        <w:t>9</w:t>
      </w:r>
      <w:r w:rsidRPr="00F84E67">
        <w:t>(1), 121-136.</w:t>
      </w:r>
    </w:p>
    <w:p w14:paraId="67AE01C2" w14:textId="77777777" w:rsidR="008F2713" w:rsidRPr="00F84E67" w:rsidRDefault="008F2713" w:rsidP="008F2713">
      <w:pPr>
        <w:pStyle w:val="References"/>
      </w:pPr>
      <w:r w:rsidRPr="00F84E67">
        <w:rPr>
          <w:lang w:val="de-DE"/>
        </w:rPr>
        <w:t xml:space="preserve">Stawinski,W., Węgrzyn, A., Danko,T., Freitas, O., Figueiredo, S., &amp; Chmielarz, L. (2017). </w:t>
      </w:r>
      <w:r w:rsidRPr="00F84E67">
        <w:t xml:space="preserve">Acid-base treated vermiculite as high performance adsorbent: Insights into the mechanism of cationic dyes adsorption, regeneration, </w:t>
      </w:r>
      <w:r w:rsidRPr="00F84E67">
        <w:rPr>
          <w:lang w:val="en-GB"/>
        </w:rPr>
        <w:t>recyclability</w:t>
      </w:r>
      <w:r w:rsidRPr="00F84E67">
        <w:t xml:space="preserve"> and stability studies, </w:t>
      </w:r>
      <w:r w:rsidRPr="00F84E67">
        <w:rPr>
          <w:i/>
          <w:iCs/>
        </w:rPr>
        <w:t>Chemosphere,</w:t>
      </w:r>
      <w:r w:rsidRPr="00F84E67">
        <w:t xml:space="preserve"> </w:t>
      </w:r>
      <w:r w:rsidRPr="00F84E67">
        <w:rPr>
          <w:i/>
          <w:iCs/>
        </w:rPr>
        <w:t>173</w:t>
      </w:r>
      <w:r w:rsidRPr="00F84E67">
        <w:t>, 107-115.</w:t>
      </w:r>
    </w:p>
    <w:p w14:paraId="19865442" w14:textId="77777777" w:rsidR="008F2713" w:rsidRPr="00F84E67" w:rsidRDefault="008F2713" w:rsidP="008F2713">
      <w:pPr>
        <w:pStyle w:val="References"/>
      </w:pPr>
      <w:r w:rsidRPr="00F84E67">
        <w:t xml:space="preserve">Thema, F., Moloto, M.,  Dikio, E., Nyangiwe, N., Kotsedi, L., Maaza, M., &amp; Khenfouch, M. (2013). Synthesis and characterization of graphene thin films by chemical </w:t>
      </w:r>
      <w:r w:rsidRPr="00F84E67">
        <w:rPr>
          <w:lang w:val="en-GB"/>
        </w:rPr>
        <w:t>reduction</w:t>
      </w:r>
      <w:r w:rsidRPr="00F84E67">
        <w:t xml:space="preserve"> of exfoliated and intercalated graphite oxide, </w:t>
      </w:r>
      <w:r w:rsidRPr="00F84E67">
        <w:rPr>
          <w:i/>
          <w:iCs/>
        </w:rPr>
        <w:t xml:space="preserve">Journal of </w:t>
      </w:r>
      <w:r>
        <w:rPr>
          <w:i/>
          <w:iCs/>
        </w:rPr>
        <w:t>C</w:t>
      </w:r>
      <w:r w:rsidRPr="00F84E67">
        <w:rPr>
          <w:i/>
          <w:iCs/>
        </w:rPr>
        <w:t>hemistry</w:t>
      </w:r>
      <w:r w:rsidRPr="00F84E67">
        <w:t>.</w:t>
      </w:r>
    </w:p>
    <w:p w14:paraId="515B2737" w14:textId="77777777" w:rsidR="008F2713" w:rsidRPr="00F84E67" w:rsidRDefault="008F2713" w:rsidP="008F2713">
      <w:pPr>
        <w:pStyle w:val="References"/>
        <w:rPr>
          <w:lang w:val="vi-VN"/>
        </w:rPr>
      </w:pPr>
      <w:r w:rsidRPr="00F84E67">
        <w:t>Tran, H.V., Bui, L.T., Dinh, T.T., Le, D.H., Huynh, C.D., &amp; Trinh, A.X. (2017). Graphene oxide/Fe</w:t>
      </w:r>
      <w:r w:rsidRPr="00F84E67">
        <w:rPr>
          <w:vertAlign w:val="subscript"/>
        </w:rPr>
        <w:t>3</w:t>
      </w:r>
      <w:r w:rsidRPr="00F84E67">
        <w:t>O</w:t>
      </w:r>
      <w:r w:rsidRPr="00F84E67">
        <w:rPr>
          <w:vertAlign w:val="subscript"/>
        </w:rPr>
        <w:t>4</w:t>
      </w:r>
      <w:r w:rsidRPr="00F84E67">
        <w:t xml:space="preserve">/chitosan nanocomposite: a recoverable and recyclable adsorbent for organic dyes removal. Application to methylene blue. </w:t>
      </w:r>
      <w:r w:rsidRPr="00F84E67">
        <w:rPr>
          <w:i/>
          <w:iCs/>
        </w:rPr>
        <w:t>Materials Research Express</w:t>
      </w:r>
      <w:r w:rsidRPr="00F84E67">
        <w:t xml:space="preserve">, </w:t>
      </w:r>
      <w:r w:rsidRPr="00F84E67">
        <w:rPr>
          <w:i/>
          <w:iCs/>
        </w:rPr>
        <w:t>4</w:t>
      </w:r>
      <w:r w:rsidRPr="00F84E67">
        <w:t>(3), 035701</w:t>
      </w:r>
    </w:p>
    <w:p w14:paraId="30FC4E82" w14:textId="77777777" w:rsidR="008F2713" w:rsidRPr="00F84E67" w:rsidRDefault="008F2713" w:rsidP="008F2713">
      <w:pPr>
        <w:pStyle w:val="References"/>
      </w:pPr>
      <w:r w:rsidRPr="00F84E67">
        <w:t xml:space="preserve">Tural, B., Ozkan, N., &amp; Volkan, M. (2009). Preparation and characterization of polymer coated superparamagnetic magnetite </w:t>
      </w:r>
      <w:r w:rsidRPr="00F84E67">
        <w:rPr>
          <w:lang w:val="en-GB"/>
        </w:rPr>
        <w:t>nanoparticle</w:t>
      </w:r>
      <w:r w:rsidRPr="00F84E67">
        <w:t xml:space="preserve"> agglomerates, </w:t>
      </w:r>
      <w:r w:rsidRPr="00F84E67">
        <w:rPr>
          <w:i/>
          <w:iCs/>
        </w:rPr>
        <w:t>Journal of Physics and Chemistry of Solids</w:t>
      </w:r>
      <w:r w:rsidRPr="00F84E67">
        <w:t xml:space="preserve">, </w:t>
      </w:r>
      <w:r w:rsidRPr="00F84E67">
        <w:rPr>
          <w:i/>
          <w:iCs/>
        </w:rPr>
        <w:t>70</w:t>
      </w:r>
      <w:r w:rsidRPr="00F84E67">
        <w:t>(5), 860-866.</w:t>
      </w:r>
    </w:p>
    <w:p w14:paraId="5A5CAFC9" w14:textId="77777777" w:rsidR="008F2713" w:rsidRPr="00F84E67" w:rsidRDefault="008F2713" w:rsidP="008F2713">
      <w:pPr>
        <w:pStyle w:val="References"/>
        <w:rPr>
          <w:lang w:val="vi-VN"/>
        </w:rPr>
      </w:pPr>
      <w:r w:rsidRPr="00F84E67">
        <w:rPr>
          <w:lang w:val="fr-FR"/>
        </w:rPr>
        <w:t xml:space="preserve">Wang, Y., Xia, G., Wu, C., Sun, J., Song, </w:t>
      </w:r>
      <w:r w:rsidRPr="00F84E67">
        <w:rPr>
          <w:lang w:val="de-DE"/>
        </w:rPr>
        <w:t>&amp;</w:t>
      </w:r>
      <w:r w:rsidRPr="00F84E67">
        <w:rPr>
          <w:lang w:val="fr-FR"/>
        </w:rPr>
        <w:t xml:space="preserve"> R., Huang, W.</w:t>
      </w:r>
      <w:r w:rsidRPr="00F84E67">
        <w:rPr>
          <w:lang w:val="de-DE"/>
        </w:rPr>
        <w:t xml:space="preserve"> (2015).</w:t>
      </w:r>
      <w:r w:rsidRPr="00F84E67">
        <w:rPr>
          <w:lang w:val="fr-FR"/>
        </w:rPr>
        <w:t xml:space="preserve"> Carbohydr. Polym, </w:t>
      </w:r>
      <w:r w:rsidRPr="00F84E67">
        <w:rPr>
          <w:i/>
          <w:iCs/>
          <w:lang w:val="fr-FR"/>
        </w:rPr>
        <w:t>115</w:t>
      </w:r>
      <w:r w:rsidRPr="00F84E67">
        <w:rPr>
          <w:lang w:val="fr-FR"/>
        </w:rPr>
        <w:t>, 686-693.</w:t>
      </w:r>
    </w:p>
    <w:p w14:paraId="30D094B4" w14:textId="77777777" w:rsidR="008F2713" w:rsidRPr="00F84E67" w:rsidRDefault="008F2713" w:rsidP="008F2713">
      <w:pPr>
        <w:pStyle w:val="References"/>
      </w:pPr>
      <w:r w:rsidRPr="00F84E67">
        <w:rPr>
          <w:lang w:val="fr-FR"/>
        </w:rPr>
        <w:t xml:space="preserve">Wei, M.P., Chai, H., Cao,Y.L., &amp; Jia, D.Z. (2018). </w:t>
      </w:r>
      <w:r w:rsidRPr="00F84E67">
        <w:t>Sulfonated graphene oxide as an adsorbent for removal of Pb</w:t>
      </w:r>
      <w:r w:rsidRPr="00F84E67">
        <w:rPr>
          <w:vertAlign w:val="superscript"/>
        </w:rPr>
        <w:t>2+</w:t>
      </w:r>
      <w:r w:rsidRPr="00F84E67">
        <w:t xml:space="preserve"> and methylene blue, </w:t>
      </w:r>
      <w:r w:rsidRPr="00F84E67">
        <w:rPr>
          <w:i/>
          <w:iCs/>
        </w:rPr>
        <w:t>Journal of colloid and interface science</w:t>
      </w:r>
      <w:r w:rsidRPr="00F84E67">
        <w:t xml:space="preserve">, </w:t>
      </w:r>
      <w:r w:rsidRPr="00F84E67">
        <w:rPr>
          <w:i/>
          <w:iCs/>
        </w:rPr>
        <w:t>524</w:t>
      </w:r>
      <w:r w:rsidRPr="00F84E67">
        <w:t>, 297-305.</w:t>
      </w:r>
    </w:p>
    <w:p w14:paraId="4CE57955" w14:textId="77777777" w:rsidR="008F2713" w:rsidRPr="00F84E67" w:rsidRDefault="008F2713" w:rsidP="008F2713">
      <w:pPr>
        <w:pStyle w:val="References"/>
      </w:pPr>
      <w:r w:rsidRPr="00F84E67">
        <w:t xml:space="preserve">Xiao, Z., Zhou, Q., H., Qin, Qiao, J., &amp; Guan, X. (2016). The enhancing effect of weak magnetic field on </w:t>
      </w:r>
      <w:r w:rsidRPr="00F84E67">
        <w:rPr>
          <w:lang w:val="en-GB"/>
        </w:rPr>
        <w:t>degradation</w:t>
      </w:r>
      <w:r w:rsidRPr="00F84E67">
        <w:t xml:space="preserve"> of Orange II by zero-valent iron, </w:t>
      </w:r>
      <w:r w:rsidRPr="00F84E67">
        <w:rPr>
          <w:i/>
          <w:iCs/>
        </w:rPr>
        <w:t>Desalination and Water Treatment</w:t>
      </w:r>
      <w:r w:rsidRPr="00F84E67">
        <w:t xml:space="preserve">, </w:t>
      </w:r>
      <w:r w:rsidRPr="00F84E67">
        <w:rPr>
          <w:i/>
          <w:iCs/>
        </w:rPr>
        <w:t>57</w:t>
      </w:r>
      <w:r w:rsidRPr="00F84E67">
        <w:t>(4), 1659-1670.</w:t>
      </w:r>
    </w:p>
    <w:p w14:paraId="1A6C97B6" w14:textId="77777777" w:rsidR="008F2713" w:rsidRPr="00F84E67" w:rsidRDefault="008F2713" w:rsidP="008F2713">
      <w:pPr>
        <w:pStyle w:val="References"/>
      </w:pPr>
      <w:r w:rsidRPr="00F84E67">
        <w:rPr>
          <w:lang w:val="de-DE"/>
        </w:rPr>
        <w:t xml:space="preserve">Yang, B., Wei,Y.,  Liu, Q., Luo, Y., Qiu, S., &amp; Shi, Z. (2019).  </w:t>
      </w:r>
      <w:r w:rsidRPr="00F84E67">
        <w:t xml:space="preserve">Polyvinylpyrrolidone functionalized magnetic graphene-based composites for highly efficient removal of lead from wastewater, </w:t>
      </w:r>
      <w:r w:rsidRPr="00F84E67">
        <w:rPr>
          <w:i/>
          <w:iCs/>
        </w:rPr>
        <w:t>Colloids and Surfaces A: Physicochemical and Engineering Aspects</w:t>
      </w:r>
      <w:r w:rsidRPr="00F84E67">
        <w:t xml:space="preserve">, </w:t>
      </w:r>
      <w:r w:rsidRPr="00F84E67">
        <w:rPr>
          <w:i/>
          <w:iCs/>
        </w:rPr>
        <w:t>582</w:t>
      </w:r>
      <w:r w:rsidRPr="00F84E67">
        <w:t>, 123927.</w:t>
      </w:r>
    </w:p>
    <w:p w14:paraId="5304CED3" w14:textId="77777777" w:rsidR="008F2713" w:rsidRDefault="008F2713" w:rsidP="008F2713">
      <w:pPr>
        <w:pStyle w:val="References"/>
        <w:sectPr w:rsidR="008F2713" w:rsidSect="008F2713">
          <w:type w:val="continuous"/>
          <w:pgSz w:w="10773" w:h="15309" w:code="150"/>
          <w:pgMar w:top="1418" w:right="1021" w:bottom="1418" w:left="1021" w:header="851" w:footer="851" w:gutter="0"/>
          <w:cols w:num="2" w:space="454"/>
          <w:docGrid w:linePitch="360"/>
        </w:sectPr>
      </w:pPr>
      <w:r w:rsidRPr="00F84E67">
        <w:t>Zhang, P., Lo, I.,  O'Connor, D., Pehkonen, S., Cheng, H., &amp; Hou, D. (2017). High efficiency removal of methylene blue using SDS surface-modified ZnFe</w:t>
      </w:r>
      <w:r w:rsidRPr="00F84E67">
        <w:rPr>
          <w:vertAlign w:val="subscript"/>
        </w:rPr>
        <w:t>2</w:t>
      </w:r>
      <w:r w:rsidRPr="00F84E67">
        <w:t>O</w:t>
      </w:r>
      <w:r w:rsidRPr="00F84E67">
        <w:rPr>
          <w:vertAlign w:val="subscript"/>
        </w:rPr>
        <w:t>4</w:t>
      </w:r>
      <w:r w:rsidRPr="00F84E67">
        <w:t xml:space="preserve"> nanoparticles, </w:t>
      </w:r>
      <w:r w:rsidRPr="00F84E67">
        <w:rPr>
          <w:i/>
          <w:iCs/>
        </w:rPr>
        <w:t>Journal of colloid and interface science</w:t>
      </w:r>
      <w:r w:rsidRPr="00F84E67">
        <w:t xml:space="preserve">, </w:t>
      </w:r>
      <w:r w:rsidRPr="00F84E67">
        <w:rPr>
          <w:i/>
          <w:iCs/>
        </w:rPr>
        <w:t>508</w:t>
      </w:r>
      <w:r w:rsidRPr="00F84E67">
        <w:t>,  39-48.</w:t>
      </w:r>
    </w:p>
    <w:p w14:paraId="7A7F46D8" w14:textId="77777777" w:rsidR="00E84DF8" w:rsidRPr="00961940" w:rsidRDefault="00E84DF8" w:rsidP="008F2713">
      <w:pPr>
        <w:pStyle w:val="References"/>
      </w:pPr>
    </w:p>
    <w:sectPr w:rsidR="00E84DF8" w:rsidRPr="00961940" w:rsidSect="000E0E50">
      <w:type w:val="continuous"/>
      <w:pgSz w:w="10773" w:h="15309" w:code="150"/>
      <w:pgMar w:top="1418" w:right="1021" w:bottom="1418" w:left="1021" w:header="851" w:footer="851"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D4BD1" w14:textId="77777777" w:rsidR="00745481" w:rsidRDefault="00745481" w:rsidP="00A817AE">
      <w:r>
        <w:separator/>
      </w:r>
    </w:p>
  </w:endnote>
  <w:endnote w:type="continuationSeparator" w:id="0">
    <w:p w14:paraId="78AA04B8" w14:textId="77777777" w:rsidR="00745481" w:rsidRDefault="00745481" w:rsidP="00A8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21B4" w14:textId="493AEC12" w:rsidR="00D62E30" w:rsidRPr="00C82DB1" w:rsidRDefault="009172F8" w:rsidP="009172F8">
    <w:pPr>
      <w:jc w:val="center"/>
      <w:rPr>
        <w:rFonts w:cs="Times New Roman"/>
        <w:color w:val="000000" w:themeColor="text1"/>
        <w:sz w:val="20"/>
        <w:szCs w:val="20"/>
      </w:rPr>
    </w:pPr>
    <w:r w:rsidRPr="00C82DB1">
      <w:rPr>
        <w:rFonts w:cs="Times New Roman"/>
        <w:color w:val="000000" w:themeColor="text1"/>
        <w:sz w:val="20"/>
        <w:szCs w:val="20"/>
      </w:rPr>
      <w:fldChar w:fldCharType="begin"/>
    </w:r>
    <w:r w:rsidRPr="00C82DB1">
      <w:rPr>
        <w:rFonts w:cs="Times New Roman"/>
        <w:color w:val="000000" w:themeColor="text1"/>
        <w:sz w:val="20"/>
        <w:szCs w:val="20"/>
      </w:rPr>
      <w:instrText xml:space="preserve"> PAGE  \* Arabic  \* MERGEFORMAT </w:instrText>
    </w:r>
    <w:r w:rsidRPr="00C82DB1">
      <w:rPr>
        <w:rFonts w:cs="Times New Roman"/>
        <w:color w:val="000000" w:themeColor="text1"/>
        <w:sz w:val="20"/>
        <w:szCs w:val="20"/>
      </w:rPr>
      <w:fldChar w:fldCharType="separate"/>
    </w:r>
    <w:r w:rsidR="0055620D">
      <w:rPr>
        <w:rFonts w:cs="Times New Roman"/>
        <w:noProof/>
        <w:color w:val="000000" w:themeColor="text1"/>
        <w:sz w:val="20"/>
        <w:szCs w:val="20"/>
      </w:rPr>
      <w:t>10</w:t>
    </w:r>
    <w:r w:rsidRPr="00C82DB1">
      <w:rPr>
        <w:rFonts w:cs="Times New Roman"/>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03D0A" w14:textId="77777777" w:rsidR="00745481" w:rsidRDefault="00745481" w:rsidP="00A817AE">
      <w:r>
        <w:separator/>
      </w:r>
    </w:p>
  </w:footnote>
  <w:footnote w:type="continuationSeparator" w:id="0">
    <w:p w14:paraId="4F5B434C" w14:textId="77777777" w:rsidR="00745481" w:rsidRDefault="00745481" w:rsidP="00A81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92AB4" w14:textId="223499E8" w:rsidR="00A817AE" w:rsidRPr="00484C0C" w:rsidRDefault="00B71B3C" w:rsidP="006C5ECA">
    <w:pPr>
      <w:tabs>
        <w:tab w:val="center" w:pos="2835"/>
        <w:tab w:val="right" w:pos="8707"/>
      </w:tabs>
      <w:jc w:val="center"/>
      <w:rPr>
        <w:rFonts w:cs="Times New Roman"/>
        <w:i/>
        <w:sz w:val="17"/>
        <w:szCs w:val="17"/>
      </w:rPr>
    </w:pPr>
    <w:r w:rsidRPr="0026463B">
      <w:rPr>
        <w:rFonts w:cs="Times New Roman"/>
        <w:i/>
        <w:sz w:val="17"/>
        <w:szCs w:val="17"/>
      </w:rPr>
      <w:t>CTU Journal of Innovation and Sustainable Development</w:t>
    </w:r>
    <w:r w:rsidR="00E37B17">
      <w:rPr>
        <w:rFonts w:cs="Times New Roman"/>
        <w:i/>
        <w:sz w:val="17"/>
        <w:szCs w:val="17"/>
      </w:rPr>
      <w:tab/>
    </w:r>
    <w:r w:rsidR="006C5ECA" w:rsidRPr="006C5ECA">
      <w:rPr>
        <w:rFonts w:cs="Times New Roman"/>
        <w:i/>
        <w:sz w:val="17"/>
        <w:szCs w:val="17"/>
      </w:rPr>
      <w:t>Vol</w:t>
    </w:r>
    <w:r w:rsidR="00E15CAE">
      <w:rPr>
        <w:rFonts w:cs="Times New Roman"/>
        <w:i/>
        <w:sz w:val="17"/>
        <w:szCs w:val="17"/>
      </w:rPr>
      <w:t>.</w:t>
    </w:r>
    <w:r w:rsidR="006C5ECA" w:rsidRPr="006C5ECA">
      <w:rPr>
        <w:rFonts w:cs="Times New Roman"/>
        <w:i/>
        <w:sz w:val="17"/>
        <w:szCs w:val="17"/>
      </w:rPr>
      <w:t xml:space="preserve"> </w:t>
    </w:r>
    <w:r w:rsidR="00C206DD">
      <w:rPr>
        <w:rFonts w:cs="Times New Roman"/>
        <w:i/>
        <w:sz w:val="17"/>
        <w:szCs w:val="17"/>
      </w:rPr>
      <w:t>x</w:t>
    </w:r>
    <w:r w:rsidR="00E15CAE">
      <w:rPr>
        <w:rFonts w:cs="Times New Roman"/>
        <w:i/>
        <w:sz w:val="17"/>
        <w:szCs w:val="17"/>
      </w:rPr>
      <w:t>,</w:t>
    </w:r>
    <w:r w:rsidR="00E540B0">
      <w:rPr>
        <w:rFonts w:cs="Times New Roman"/>
        <w:i/>
        <w:sz w:val="17"/>
        <w:szCs w:val="17"/>
      </w:rPr>
      <w:t xml:space="preserve"> </w:t>
    </w:r>
    <w:r w:rsidR="00E15CAE">
      <w:rPr>
        <w:rFonts w:cs="Times New Roman"/>
        <w:i/>
        <w:sz w:val="17"/>
        <w:szCs w:val="17"/>
      </w:rPr>
      <w:t xml:space="preserve">No. </w:t>
    </w:r>
    <w:r w:rsidR="00C96A7C">
      <w:rPr>
        <w:rFonts w:cs="Times New Roman"/>
        <w:i/>
        <w:sz w:val="17"/>
        <w:szCs w:val="17"/>
      </w:rPr>
      <w:t>x</w:t>
    </w:r>
    <w:r w:rsidR="00F06C34">
      <w:rPr>
        <w:rFonts w:cs="Times New Roman"/>
        <w:i/>
        <w:sz w:val="17"/>
        <w:szCs w:val="17"/>
      </w:rPr>
      <w:t xml:space="preserve"> </w:t>
    </w:r>
    <w:r w:rsidR="006C5ECA" w:rsidRPr="006C5ECA">
      <w:rPr>
        <w:rFonts w:cs="Times New Roman"/>
        <w:i/>
        <w:sz w:val="17"/>
        <w:szCs w:val="17"/>
      </w:rPr>
      <w:t>(20</w:t>
    </w:r>
    <w:r w:rsidR="00E27277">
      <w:rPr>
        <w:rFonts w:cs="Times New Roman"/>
        <w:i/>
        <w:sz w:val="17"/>
        <w:szCs w:val="17"/>
      </w:rPr>
      <w:t>2</w:t>
    </w:r>
    <w:r w:rsidR="00AD0E7A">
      <w:rPr>
        <w:rFonts w:cs="Times New Roman"/>
        <w:i/>
        <w:sz w:val="17"/>
        <w:szCs w:val="17"/>
      </w:rPr>
      <w:t>3</w:t>
    </w:r>
    <w:r w:rsidR="006C5ECA" w:rsidRPr="006C5ECA">
      <w:rPr>
        <w:rFonts w:cs="Times New Roman"/>
        <w:i/>
        <w:sz w:val="17"/>
        <w:szCs w:val="17"/>
      </w:rPr>
      <w:t>)</w:t>
    </w:r>
    <w:r w:rsidR="00930C55">
      <w:rPr>
        <w:rFonts w:cs="Times New Roman"/>
        <w:i/>
        <w:sz w:val="17"/>
        <w:szCs w:val="17"/>
      </w:rPr>
      <w:t>:</w:t>
    </w:r>
    <w:r w:rsidR="006C5ECA">
      <w:rPr>
        <w:rFonts w:cs="Times New Roman"/>
        <w:i/>
        <w:sz w:val="17"/>
        <w:szCs w:val="17"/>
      </w:rPr>
      <w:t xml:space="preserve"> </w:t>
    </w:r>
    <w:r w:rsidR="00C96A7C">
      <w:rPr>
        <w:rFonts w:cs="Times New Roman"/>
        <w:i/>
        <w:sz w:val="17"/>
        <w:szCs w:val="17"/>
      </w:rPr>
      <w:t>x</w:t>
    </w:r>
    <w:r w:rsidR="00484C0C" w:rsidRPr="00992E7E">
      <w:rPr>
        <w:rFonts w:cs="Times New Roman"/>
        <w:i/>
        <w:sz w:val="17"/>
        <w:szCs w:val="17"/>
      </w:rPr>
      <w:t>-</w:t>
    </w:r>
    <w:r w:rsidR="00C96A7C">
      <w:rPr>
        <w:rFonts w:cs="Times New Roman"/>
        <w:i/>
        <w:sz w:val="17"/>
        <w:szCs w:val="17"/>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B3C2222"/>
    <w:lvl w:ilvl="0">
      <w:start w:val="1"/>
      <w:numFmt w:val="decimal"/>
      <w:lvlText w:val="%1."/>
      <w:lvlJc w:val="left"/>
      <w:pPr>
        <w:tabs>
          <w:tab w:val="num" w:pos="926"/>
        </w:tabs>
        <w:ind w:left="926" w:hanging="360"/>
      </w:pPr>
    </w:lvl>
  </w:abstractNum>
  <w:abstractNum w:abstractNumId="1" w15:restartNumberingAfterBreak="0">
    <w:nsid w:val="015C4A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AD7261"/>
    <w:multiLevelType w:val="hybridMultilevel"/>
    <w:tmpl w:val="7D56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B311C"/>
    <w:multiLevelType w:val="hybridMultilevel"/>
    <w:tmpl w:val="07E2E436"/>
    <w:lvl w:ilvl="0" w:tplc="92C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31B1E"/>
    <w:multiLevelType w:val="hybridMultilevel"/>
    <w:tmpl w:val="59385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67543"/>
    <w:multiLevelType w:val="hybridMultilevel"/>
    <w:tmpl w:val="6436012C"/>
    <w:lvl w:ilvl="0" w:tplc="4CBE999C">
      <w:start w:val="1"/>
      <w:numFmt w:val="decimal"/>
      <w:lvlText w:val="1.%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302EC1"/>
    <w:multiLevelType w:val="hybridMultilevel"/>
    <w:tmpl w:val="FB90471E"/>
    <w:lvl w:ilvl="0" w:tplc="B91639E0">
      <w:start w:val="1"/>
      <w:numFmt w:val="lowerLetter"/>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63E9B"/>
    <w:multiLevelType w:val="multilevel"/>
    <w:tmpl w:val="C0E00B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3BA3E7D"/>
    <w:multiLevelType w:val="hybridMultilevel"/>
    <w:tmpl w:val="0044933E"/>
    <w:lvl w:ilvl="0" w:tplc="3A50578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72ECB"/>
    <w:multiLevelType w:val="hybridMultilevel"/>
    <w:tmpl w:val="A8148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14A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7B3884"/>
    <w:multiLevelType w:val="hybridMultilevel"/>
    <w:tmpl w:val="DD6AD292"/>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80550"/>
    <w:multiLevelType w:val="hybridMultilevel"/>
    <w:tmpl w:val="E9DE892E"/>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24101F"/>
    <w:multiLevelType w:val="multilevel"/>
    <w:tmpl w:val="526ED754"/>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9876D2"/>
    <w:multiLevelType w:val="hybridMultilevel"/>
    <w:tmpl w:val="F9F25188"/>
    <w:lvl w:ilvl="0" w:tplc="5D02A794">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693523"/>
    <w:multiLevelType w:val="hybridMultilevel"/>
    <w:tmpl w:val="036A42D2"/>
    <w:lvl w:ilvl="0" w:tplc="C44650D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86613E"/>
    <w:multiLevelType w:val="hybridMultilevel"/>
    <w:tmpl w:val="2B944FBC"/>
    <w:lvl w:ilvl="0" w:tplc="2E6E969C">
      <w:start w:val="1"/>
      <w:numFmt w:val="decimal"/>
      <w:lvlText w:val="3.%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7" w15:restartNumberingAfterBreak="0">
    <w:nsid w:val="54E219CD"/>
    <w:multiLevelType w:val="multilevel"/>
    <w:tmpl w:val="F92CD3B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57527A3"/>
    <w:multiLevelType w:val="hybridMultilevel"/>
    <w:tmpl w:val="8AA8C91E"/>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AD0950"/>
    <w:multiLevelType w:val="hybridMultilevel"/>
    <w:tmpl w:val="CC3A6214"/>
    <w:lvl w:ilvl="0" w:tplc="0CC0985C">
      <w:start w:val="1"/>
      <w:numFmt w:val="bullet"/>
      <w:pStyle w:val="IdeaListing"/>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0" w15:restartNumberingAfterBreak="0">
    <w:nsid w:val="62BE6B61"/>
    <w:multiLevelType w:val="multilevel"/>
    <w:tmpl w:val="19C29424"/>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B001FBE"/>
    <w:multiLevelType w:val="hybridMultilevel"/>
    <w:tmpl w:val="CA5231EC"/>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E00423"/>
    <w:multiLevelType w:val="hybridMultilevel"/>
    <w:tmpl w:val="CFA20A76"/>
    <w:lvl w:ilvl="0" w:tplc="BED236DA">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3" w15:restartNumberingAfterBreak="0">
    <w:nsid w:val="7226597D"/>
    <w:multiLevelType w:val="hybridMultilevel"/>
    <w:tmpl w:val="936CFC90"/>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9D4A98"/>
    <w:multiLevelType w:val="hybridMultilevel"/>
    <w:tmpl w:val="33603960"/>
    <w:lvl w:ilvl="0" w:tplc="11F67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F6665F"/>
    <w:multiLevelType w:val="multilevel"/>
    <w:tmpl w:val="19E824E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799645B6"/>
    <w:multiLevelType w:val="hybridMultilevel"/>
    <w:tmpl w:val="1CE84818"/>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67CDB"/>
    <w:multiLevelType w:val="hybridMultilevel"/>
    <w:tmpl w:val="EF6A653C"/>
    <w:lvl w:ilvl="0" w:tplc="A3D83D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E12E46"/>
    <w:multiLevelType w:val="hybridMultilevel"/>
    <w:tmpl w:val="0372A952"/>
    <w:lvl w:ilvl="0" w:tplc="4CBE99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D023D8"/>
    <w:multiLevelType w:val="hybridMultilevel"/>
    <w:tmpl w:val="967C9F52"/>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20648322">
    <w:abstractNumId w:val="17"/>
  </w:num>
  <w:num w:numId="2" w16cid:durableId="1848015734">
    <w:abstractNumId w:val="21"/>
  </w:num>
  <w:num w:numId="3" w16cid:durableId="1112624623">
    <w:abstractNumId w:val="21"/>
    <w:lvlOverride w:ilvl="0">
      <w:startOverride w:val="1"/>
    </w:lvlOverride>
  </w:num>
  <w:num w:numId="4" w16cid:durableId="1565682705">
    <w:abstractNumId w:val="11"/>
  </w:num>
  <w:num w:numId="5" w16cid:durableId="1519196748">
    <w:abstractNumId w:val="18"/>
  </w:num>
  <w:num w:numId="6" w16cid:durableId="976956062">
    <w:abstractNumId w:val="2"/>
  </w:num>
  <w:num w:numId="7" w16cid:durableId="1226993000">
    <w:abstractNumId w:val="9"/>
  </w:num>
  <w:num w:numId="8" w16cid:durableId="793256370">
    <w:abstractNumId w:val="26"/>
  </w:num>
  <w:num w:numId="9" w16cid:durableId="1658731358">
    <w:abstractNumId w:val="10"/>
  </w:num>
  <w:num w:numId="10" w16cid:durableId="877820332">
    <w:abstractNumId w:val="5"/>
  </w:num>
  <w:num w:numId="11" w16cid:durableId="311445364">
    <w:abstractNumId w:val="28"/>
  </w:num>
  <w:num w:numId="12" w16cid:durableId="837690587">
    <w:abstractNumId w:val="12"/>
  </w:num>
  <w:num w:numId="13" w16cid:durableId="1972514466">
    <w:abstractNumId w:val="29"/>
  </w:num>
  <w:num w:numId="14" w16cid:durableId="32661398">
    <w:abstractNumId w:val="13"/>
  </w:num>
  <w:num w:numId="15" w16cid:durableId="1899128225">
    <w:abstractNumId w:val="15"/>
  </w:num>
  <w:num w:numId="16" w16cid:durableId="1465730459">
    <w:abstractNumId w:val="22"/>
  </w:num>
  <w:num w:numId="17" w16cid:durableId="1512182169">
    <w:abstractNumId w:val="19"/>
  </w:num>
  <w:num w:numId="18" w16cid:durableId="424158719">
    <w:abstractNumId w:val="14"/>
  </w:num>
  <w:num w:numId="19" w16cid:durableId="1749885125">
    <w:abstractNumId w:val="20"/>
  </w:num>
  <w:num w:numId="20" w16cid:durableId="1772435587">
    <w:abstractNumId w:val="3"/>
  </w:num>
  <w:num w:numId="21" w16cid:durableId="1816413356">
    <w:abstractNumId w:val="8"/>
  </w:num>
  <w:num w:numId="22" w16cid:durableId="734593471">
    <w:abstractNumId w:val="24"/>
  </w:num>
  <w:num w:numId="23" w16cid:durableId="1841306673">
    <w:abstractNumId w:val="16"/>
  </w:num>
  <w:num w:numId="24" w16cid:durableId="611400637">
    <w:abstractNumId w:val="16"/>
    <w:lvlOverride w:ilvl="0">
      <w:startOverride w:val="1"/>
    </w:lvlOverride>
  </w:num>
  <w:num w:numId="25" w16cid:durableId="2047946673">
    <w:abstractNumId w:val="23"/>
  </w:num>
  <w:num w:numId="26" w16cid:durableId="1577788530">
    <w:abstractNumId w:val="27"/>
  </w:num>
  <w:num w:numId="27" w16cid:durableId="1898396146">
    <w:abstractNumId w:val="1"/>
  </w:num>
  <w:num w:numId="28" w16cid:durableId="677663071">
    <w:abstractNumId w:val="25"/>
  </w:num>
  <w:num w:numId="29" w16cid:durableId="343047095">
    <w:abstractNumId w:val="4"/>
  </w:num>
  <w:num w:numId="30" w16cid:durableId="1104687137">
    <w:abstractNumId w:val="6"/>
  </w:num>
  <w:num w:numId="31" w16cid:durableId="1447970752">
    <w:abstractNumId w:val="0"/>
  </w:num>
  <w:num w:numId="32" w16cid:durableId="18773089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284"/>
  <w:hyphenationZone w:val="35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wNjc3MTI3MLQwMzZQ0lEKTi0uzszPAykwrAUAGNvKFCwAAAA="/>
  </w:docVars>
  <w:rsids>
    <w:rsidRoot w:val="004547E7"/>
    <w:rsid w:val="00000A64"/>
    <w:rsid w:val="000220AF"/>
    <w:rsid w:val="00054517"/>
    <w:rsid w:val="000649EE"/>
    <w:rsid w:val="0007535C"/>
    <w:rsid w:val="0008053E"/>
    <w:rsid w:val="00081731"/>
    <w:rsid w:val="00083917"/>
    <w:rsid w:val="000845BF"/>
    <w:rsid w:val="000A27C9"/>
    <w:rsid w:val="000D1D80"/>
    <w:rsid w:val="000E0E50"/>
    <w:rsid w:val="000E326B"/>
    <w:rsid w:val="000E364B"/>
    <w:rsid w:val="000E3B13"/>
    <w:rsid w:val="000F29A3"/>
    <w:rsid w:val="000F7559"/>
    <w:rsid w:val="00101BD1"/>
    <w:rsid w:val="001213A8"/>
    <w:rsid w:val="00123990"/>
    <w:rsid w:val="0012794B"/>
    <w:rsid w:val="001303B3"/>
    <w:rsid w:val="00154068"/>
    <w:rsid w:val="001722D6"/>
    <w:rsid w:val="00181855"/>
    <w:rsid w:val="00182DC6"/>
    <w:rsid w:val="00186FE5"/>
    <w:rsid w:val="001970E1"/>
    <w:rsid w:val="001A687E"/>
    <w:rsid w:val="001A71F8"/>
    <w:rsid w:val="001E3F7C"/>
    <w:rsid w:val="001F2E03"/>
    <w:rsid w:val="002004D0"/>
    <w:rsid w:val="0020611A"/>
    <w:rsid w:val="002078F9"/>
    <w:rsid w:val="0021115E"/>
    <w:rsid w:val="002129CB"/>
    <w:rsid w:val="00224492"/>
    <w:rsid w:val="00252787"/>
    <w:rsid w:val="002747BF"/>
    <w:rsid w:val="002757C7"/>
    <w:rsid w:val="0029347B"/>
    <w:rsid w:val="00296755"/>
    <w:rsid w:val="002A56E3"/>
    <w:rsid w:val="002A63CC"/>
    <w:rsid w:val="002B30AE"/>
    <w:rsid w:val="002F0F13"/>
    <w:rsid w:val="002F3065"/>
    <w:rsid w:val="002F58D2"/>
    <w:rsid w:val="00311CFD"/>
    <w:rsid w:val="00311F13"/>
    <w:rsid w:val="0032596A"/>
    <w:rsid w:val="00334D95"/>
    <w:rsid w:val="003448A8"/>
    <w:rsid w:val="00351A02"/>
    <w:rsid w:val="00363352"/>
    <w:rsid w:val="00363C87"/>
    <w:rsid w:val="0037148C"/>
    <w:rsid w:val="0037406E"/>
    <w:rsid w:val="00384742"/>
    <w:rsid w:val="0038559A"/>
    <w:rsid w:val="00392308"/>
    <w:rsid w:val="003A09BA"/>
    <w:rsid w:val="003A662C"/>
    <w:rsid w:val="003C3F1A"/>
    <w:rsid w:val="003C4AC3"/>
    <w:rsid w:val="003C5352"/>
    <w:rsid w:val="003E0265"/>
    <w:rsid w:val="003F0146"/>
    <w:rsid w:val="003F054B"/>
    <w:rsid w:val="003F1ECE"/>
    <w:rsid w:val="003F432D"/>
    <w:rsid w:val="0040243B"/>
    <w:rsid w:val="00402D2F"/>
    <w:rsid w:val="00411E62"/>
    <w:rsid w:val="00424515"/>
    <w:rsid w:val="00424CB4"/>
    <w:rsid w:val="00426AA3"/>
    <w:rsid w:val="00452E4E"/>
    <w:rsid w:val="004547E7"/>
    <w:rsid w:val="00477D73"/>
    <w:rsid w:val="0048092F"/>
    <w:rsid w:val="004815AE"/>
    <w:rsid w:val="00484C0C"/>
    <w:rsid w:val="00485AED"/>
    <w:rsid w:val="00487F1E"/>
    <w:rsid w:val="00491963"/>
    <w:rsid w:val="004A11DF"/>
    <w:rsid w:val="004A5C90"/>
    <w:rsid w:val="004B4D88"/>
    <w:rsid w:val="004B75FD"/>
    <w:rsid w:val="004B7894"/>
    <w:rsid w:val="004C3D8E"/>
    <w:rsid w:val="004D67B1"/>
    <w:rsid w:val="004E125A"/>
    <w:rsid w:val="004E765C"/>
    <w:rsid w:val="004F0F4F"/>
    <w:rsid w:val="004F154B"/>
    <w:rsid w:val="004F3A75"/>
    <w:rsid w:val="005176A2"/>
    <w:rsid w:val="00530A96"/>
    <w:rsid w:val="00536039"/>
    <w:rsid w:val="00541610"/>
    <w:rsid w:val="0054379E"/>
    <w:rsid w:val="0054630B"/>
    <w:rsid w:val="005560AC"/>
    <w:rsid w:val="0055620D"/>
    <w:rsid w:val="00557FA5"/>
    <w:rsid w:val="00566482"/>
    <w:rsid w:val="0057537E"/>
    <w:rsid w:val="0059227E"/>
    <w:rsid w:val="005A19C2"/>
    <w:rsid w:val="005B7739"/>
    <w:rsid w:val="005C0888"/>
    <w:rsid w:val="005C69D4"/>
    <w:rsid w:val="005D4190"/>
    <w:rsid w:val="005E17F4"/>
    <w:rsid w:val="005F2E15"/>
    <w:rsid w:val="005F4F35"/>
    <w:rsid w:val="005F5ABB"/>
    <w:rsid w:val="006177B5"/>
    <w:rsid w:val="00620AB9"/>
    <w:rsid w:val="00636BDB"/>
    <w:rsid w:val="00645195"/>
    <w:rsid w:val="00652866"/>
    <w:rsid w:val="0066638B"/>
    <w:rsid w:val="0067583D"/>
    <w:rsid w:val="00677067"/>
    <w:rsid w:val="006B28EF"/>
    <w:rsid w:val="006B46A4"/>
    <w:rsid w:val="006C0C9F"/>
    <w:rsid w:val="006C41E0"/>
    <w:rsid w:val="006C5ECA"/>
    <w:rsid w:val="006E3AD7"/>
    <w:rsid w:val="006E763D"/>
    <w:rsid w:val="006F1E75"/>
    <w:rsid w:val="006F6C77"/>
    <w:rsid w:val="00702190"/>
    <w:rsid w:val="00704418"/>
    <w:rsid w:val="00711690"/>
    <w:rsid w:val="00715ABA"/>
    <w:rsid w:val="00720B28"/>
    <w:rsid w:val="00722B12"/>
    <w:rsid w:val="00722B41"/>
    <w:rsid w:val="0073064A"/>
    <w:rsid w:val="00734EE7"/>
    <w:rsid w:val="007408BB"/>
    <w:rsid w:val="00745481"/>
    <w:rsid w:val="0075208A"/>
    <w:rsid w:val="00753307"/>
    <w:rsid w:val="00754C9A"/>
    <w:rsid w:val="00776EE9"/>
    <w:rsid w:val="0077790D"/>
    <w:rsid w:val="007817A1"/>
    <w:rsid w:val="007B0DAA"/>
    <w:rsid w:val="007C1489"/>
    <w:rsid w:val="007C7493"/>
    <w:rsid w:val="007D1584"/>
    <w:rsid w:val="007D2492"/>
    <w:rsid w:val="007D5983"/>
    <w:rsid w:val="007F0D10"/>
    <w:rsid w:val="00800DE4"/>
    <w:rsid w:val="00813C17"/>
    <w:rsid w:val="00826D64"/>
    <w:rsid w:val="00827459"/>
    <w:rsid w:val="0084556D"/>
    <w:rsid w:val="00867A0D"/>
    <w:rsid w:val="008705F3"/>
    <w:rsid w:val="00870A62"/>
    <w:rsid w:val="008745D4"/>
    <w:rsid w:val="008805C4"/>
    <w:rsid w:val="00880834"/>
    <w:rsid w:val="00885651"/>
    <w:rsid w:val="00891827"/>
    <w:rsid w:val="00895D8C"/>
    <w:rsid w:val="00897F31"/>
    <w:rsid w:val="008D6420"/>
    <w:rsid w:val="008F167A"/>
    <w:rsid w:val="008F2713"/>
    <w:rsid w:val="00914B72"/>
    <w:rsid w:val="009172F8"/>
    <w:rsid w:val="00930C55"/>
    <w:rsid w:val="00935810"/>
    <w:rsid w:val="00944CBB"/>
    <w:rsid w:val="0094527F"/>
    <w:rsid w:val="009467F2"/>
    <w:rsid w:val="009502B1"/>
    <w:rsid w:val="00961940"/>
    <w:rsid w:val="00962867"/>
    <w:rsid w:val="0096558E"/>
    <w:rsid w:val="00967E9E"/>
    <w:rsid w:val="0097085A"/>
    <w:rsid w:val="00975526"/>
    <w:rsid w:val="009759BA"/>
    <w:rsid w:val="009915E1"/>
    <w:rsid w:val="00992E7E"/>
    <w:rsid w:val="009959A6"/>
    <w:rsid w:val="009A42F3"/>
    <w:rsid w:val="009A4E03"/>
    <w:rsid w:val="009B0E32"/>
    <w:rsid w:val="009B3AB8"/>
    <w:rsid w:val="009C4952"/>
    <w:rsid w:val="009C52CB"/>
    <w:rsid w:val="009C6B85"/>
    <w:rsid w:val="009D4BD1"/>
    <w:rsid w:val="009E3D4E"/>
    <w:rsid w:val="00A0479C"/>
    <w:rsid w:val="00A1241C"/>
    <w:rsid w:val="00A21468"/>
    <w:rsid w:val="00A26DF4"/>
    <w:rsid w:val="00A31255"/>
    <w:rsid w:val="00A407CF"/>
    <w:rsid w:val="00A5704C"/>
    <w:rsid w:val="00A61FD1"/>
    <w:rsid w:val="00A73D8C"/>
    <w:rsid w:val="00A817AE"/>
    <w:rsid w:val="00A82686"/>
    <w:rsid w:val="00AA3556"/>
    <w:rsid w:val="00AA4FE7"/>
    <w:rsid w:val="00AA5583"/>
    <w:rsid w:val="00AA7A08"/>
    <w:rsid w:val="00AD0E7A"/>
    <w:rsid w:val="00AD1C30"/>
    <w:rsid w:val="00AD4963"/>
    <w:rsid w:val="00AD4E7C"/>
    <w:rsid w:val="00AE0C23"/>
    <w:rsid w:val="00AF4A88"/>
    <w:rsid w:val="00B10D99"/>
    <w:rsid w:val="00B126B7"/>
    <w:rsid w:val="00B22E89"/>
    <w:rsid w:val="00B42AB0"/>
    <w:rsid w:val="00B552EE"/>
    <w:rsid w:val="00B67B39"/>
    <w:rsid w:val="00B71B3C"/>
    <w:rsid w:val="00B71B55"/>
    <w:rsid w:val="00B73E74"/>
    <w:rsid w:val="00B77E8D"/>
    <w:rsid w:val="00B83F4A"/>
    <w:rsid w:val="00B9119C"/>
    <w:rsid w:val="00B92659"/>
    <w:rsid w:val="00BB395A"/>
    <w:rsid w:val="00BB5798"/>
    <w:rsid w:val="00BC0EB1"/>
    <w:rsid w:val="00BE67D9"/>
    <w:rsid w:val="00BF0FD3"/>
    <w:rsid w:val="00BF30B0"/>
    <w:rsid w:val="00BF4FDF"/>
    <w:rsid w:val="00C160C9"/>
    <w:rsid w:val="00C206DD"/>
    <w:rsid w:val="00C26CC9"/>
    <w:rsid w:val="00C302DE"/>
    <w:rsid w:val="00C52E4A"/>
    <w:rsid w:val="00C741E3"/>
    <w:rsid w:val="00C82DB1"/>
    <w:rsid w:val="00C84DD8"/>
    <w:rsid w:val="00C92F63"/>
    <w:rsid w:val="00C96A7C"/>
    <w:rsid w:val="00CA4B55"/>
    <w:rsid w:val="00CB0E83"/>
    <w:rsid w:val="00CB4EDA"/>
    <w:rsid w:val="00CB78B7"/>
    <w:rsid w:val="00CC04E9"/>
    <w:rsid w:val="00CD7B4E"/>
    <w:rsid w:val="00CE0F97"/>
    <w:rsid w:val="00CF54F0"/>
    <w:rsid w:val="00D02796"/>
    <w:rsid w:val="00D21E78"/>
    <w:rsid w:val="00D42A4B"/>
    <w:rsid w:val="00D4304F"/>
    <w:rsid w:val="00D62E30"/>
    <w:rsid w:val="00D6723D"/>
    <w:rsid w:val="00D67D53"/>
    <w:rsid w:val="00D73D87"/>
    <w:rsid w:val="00DC4158"/>
    <w:rsid w:val="00DD3810"/>
    <w:rsid w:val="00DD6A50"/>
    <w:rsid w:val="00DE1EAA"/>
    <w:rsid w:val="00DF25BB"/>
    <w:rsid w:val="00E06275"/>
    <w:rsid w:val="00E15CAE"/>
    <w:rsid w:val="00E27277"/>
    <w:rsid w:val="00E34B81"/>
    <w:rsid w:val="00E37B17"/>
    <w:rsid w:val="00E540B0"/>
    <w:rsid w:val="00E568BA"/>
    <w:rsid w:val="00E710A0"/>
    <w:rsid w:val="00E72719"/>
    <w:rsid w:val="00E84DF8"/>
    <w:rsid w:val="00EA33AC"/>
    <w:rsid w:val="00EA5654"/>
    <w:rsid w:val="00EA7A11"/>
    <w:rsid w:val="00EC1D0C"/>
    <w:rsid w:val="00EC706A"/>
    <w:rsid w:val="00EE1326"/>
    <w:rsid w:val="00EE1B91"/>
    <w:rsid w:val="00EF2914"/>
    <w:rsid w:val="00F04A39"/>
    <w:rsid w:val="00F06C34"/>
    <w:rsid w:val="00F331B8"/>
    <w:rsid w:val="00F345AB"/>
    <w:rsid w:val="00F365BA"/>
    <w:rsid w:val="00F43EE4"/>
    <w:rsid w:val="00F53E76"/>
    <w:rsid w:val="00F5469F"/>
    <w:rsid w:val="00F6200A"/>
    <w:rsid w:val="00F621C4"/>
    <w:rsid w:val="00F713EB"/>
    <w:rsid w:val="00F9077D"/>
    <w:rsid w:val="00FA4A07"/>
    <w:rsid w:val="00FA5CBB"/>
    <w:rsid w:val="00FB2949"/>
    <w:rsid w:val="00FB2DCC"/>
    <w:rsid w:val="00FB5F2A"/>
    <w:rsid w:val="00FC0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6FAEA"/>
  <w15:docId w15:val="{7AD58C00-5D01-4832-8509-17D3C0F1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1731"/>
    <w:pPr>
      <w:spacing w:after="0" w:line="240" w:lineRule="auto"/>
    </w:pPr>
    <w:rPr>
      <w:rFonts w:ascii="Times New Roman" w:hAnsi="Times New Roman"/>
    </w:rPr>
  </w:style>
  <w:style w:type="paragraph" w:styleId="Heading1">
    <w:name w:val="heading 1"/>
    <w:basedOn w:val="Heading2"/>
    <w:next w:val="Normal"/>
    <w:link w:val="Heading1Char"/>
    <w:uiPriority w:val="9"/>
    <w:qFormat/>
    <w:rsid w:val="00FB2DCC"/>
    <w:pPr>
      <w:numPr>
        <w:ilvl w:val="0"/>
      </w:numPr>
      <w:tabs>
        <w:tab w:val="clear" w:pos="406"/>
        <w:tab w:val="left" w:pos="322"/>
      </w:tabs>
      <w:ind w:left="284" w:hanging="284"/>
      <w:outlineLvl w:val="0"/>
    </w:pPr>
    <w:rPr>
      <w:caps/>
    </w:rPr>
  </w:style>
  <w:style w:type="paragraph" w:styleId="Heading2">
    <w:name w:val="heading 2"/>
    <w:basedOn w:val="Normal"/>
    <w:next w:val="Normal"/>
    <w:link w:val="Heading2Char"/>
    <w:uiPriority w:val="9"/>
    <w:unhideWhenUsed/>
    <w:qFormat/>
    <w:rsid w:val="00867A0D"/>
    <w:pPr>
      <w:keepNext/>
      <w:numPr>
        <w:ilvl w:val="1"/>
        <w:numId w:val="28"/>
      </w:numPr>
      <w:tabs>
        <w:tab w:val="left" w:pos="406"/>
      </w:tabs>
      <w:spacing w:before="120" w:after="120"/>
      <w:ind w:left="420" w:hanging="420"/>
      <w:outlineLvl w:val="1"/>
    </w:pPr>
    <w:rPr>
      <w:b/>
      <w:sz w:val="20"/>
      <w:lang w:val="de-DE"/>
    </w:rPr>
  </w:style>
  <w:style w:type="paragraph" w:styleId="Heading3">
    <w:name w:val="heading 3"/>
    <w:basedOn w:val="Normal"/>
    <w:next w:val="Normal"/>
    <w:link w:val="Heading3Char"/>
    <w:uiPriority w:val="9"/>
    <w:unhideWhenUsed/>
    <w:qFormat/>
    <w:rsid w:val="00867A0D"/>
    <w:pPr>
      <w:keepNext/>
      <w:keepLines/>
      <w:numPr>
        <w:ilvl w:val="2"/>
        <w:numId w:val="28"/>
      </w:numPr>
      <w:tabs>
        <w:tab w:val="left" w:pos="574"/>
      </w:tabs>
      <w:spacing w:before="120" w:after="120"/>
      <w:ind w:left="567" w:hanging="567"/>
      <w:outlineLvl w:val="2"/>
    </w:pPr>
    <w:rPr>
      <w:rFonts w:eastAsiaTheme="majorEastAsia" w:cs="Times New Roman"/>
      <w:bCs/>
      <w:i/>
      <w:sz w:val="20"/>
      <w:lang w:val="de-DE"/>
    </w:rPr>
  </w:style>
  <w:style w:type="paragraph" w:styleId="Heading4">
    <w:name w:val="heading 4"/>
    <w:basedOn w:val="Normal"/>
    <w:next w:val="Normal"/>
    <w:link w:val="Heading4Char"/>
    <w:uiPriority w:val="9"/>
    <w:unhideWhenUsed/>
    <w:rsid w:val="00EE1326"/>
    <w:pPr>
      <w:keepNext/>
      <w:keepLines/>
      <w:numPr>
        <w:numId w:val="30"/>
      </w:numPr>
      <w:spacing w:before="120" w:after="120"/>
      <w:ind w:left="0" w:firstLine="0"/>
      <w:outlineLvl w:val="3"/>
    </w:pPr>
    <w:rPr>
      <w:rFonts w:eastAsiaTheme="majorEastAsia" w:cs="Times New Roman"/>
      <w:bCs/>
      <w:i/>
      <w:iCs/>
      <w:sz w:val="20"/>
      <w:lang w:val="de-DE"/>
    </w:rPr>
  </w:style>
  <w:style w:type="paragraph" w:styleId="Heading5">
    <w:name w:val="heading 5"/>
    <w:basedOn w:val="Normal"/>
    <w:next w:val="Normal"/>
    <w:link w:val="Heading5Char"/>
    <w:uiPriority w:val="9"/>
    <w:semiHidden/>
    <w:unhideWhenUsed/>
    <w:qFormat/>
    <w:rsid w:val="005D4190"/>
    <w:pPr>
      <w:keepNext/>
      <w:keepLines/>
      <w:numPr>
        <w:ilvl w:val="4"/>
        <w:numId w:val="2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D4190"/>
    <w:pPr>
      <w:keepNext/>
      <w:keepLines/>
      <w:numPr>
        <w:ilvl w:val="5"/>
        <w:numId w:val="2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D4190"/>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4190"/>
    <w:pPr>
      <w:keepNext/>
      <w:keepLines/>
      <w:numPr>
        <w:ilvl w:val="7"/>
        <w:numId w:val="2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D4190"/>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rsid w:val="00F331B8"/>
    <w:pPr>
      <w:spacing w:after="60" w:line="240" w:lineRule="auto"/>
      <w:ind w:left="284" w:hanging="284"/>
    </w:pPr>
    <w:rPr>
      <w:rFonts w:ascii="Times New Roman" w:eastAsiaTheme="majorEastAsia" w:hAnsi="Times New Roman" w:cstheme="majorBidi"/>
      <w:bCs/>
      <w:sz w:val="18"/>
      <w:szCs w:val="26"/>
    </w:rPr>
  </w:style>
  <w:style w:type="paragraph" w:customStyle="1" w:styleId="Text">
    <w:name w:val="Text"/>
    <w:link w:val="TextChar"/>
    <w:rsid w:val="00961940"/>
    <w:pPr>
      <w:spacing w:before="120" w:after="120" w:line="240" w:lineRule="auto"/>
      <w:jc w:val="both"/>
    </w:pPr>
    <w:rPr>
      <w:rFonts w:ascii="Times New Roman" w:eastAsiaTheme="majorEastAsia" w:hAnsi="Times New Roman" w:cstheme="majorBidi"/>
      <w:bCs/>
      <w:sz w:val="20"/>
      <w:szCs w:val="26"/>
    </w:rPr>
  </w:style>
  <w:style w:type="paragraph" w:customStyle="1" w:styleId="IdeaListing">
    <w:name w:val="Idea Listing"/>
    <w:rsid w:val="001303B3"/>
    <w:pPr>
      <w:numPr>
        <w:numId w:val="17"/>
      </w:numPr>
      <w:spacing w:after="60" w:line="240" w:lineRule="auto"/>
      <w:ind w:left="0" w:firstLine="0"/>
      <w:jc w:val="both"/>
    </w:pPr>
    <w:rPr>
      <w:rFonts w:ascii="Times New Roman" w:eastAsiaTheme="majorEastAsia" w:hAnsi="Times New Roman" w:cstheme="majorBidi"/>
      <w:bCs/>
      <w:sz w:val="20"/>
      <w:szCs w:val="26"/>
      <w:lang w:val="vi-VN"/>
    </w:rPr>
  </w:style>
  <w:style w:type="paragraph" w:customStyle="1" w:styleId="Abstract">
    <w:name w:val="Abstract"/>
    <w:basedOn w:val="Normal"/>
    <w:link w:val="AbstractChar"/>
    <w:rsid w:val="00895D8C"/>
    <w:pPr>
      <w:spacing w:before="120" w:after="120"/>
      <w:jc w:val="both"/>
    </w:pPr>
    <w:rPr>
      <w:rFonts w:cs="Times New Roman"/>
      <w:i/>
      <w:sz w:val="20"/>
    </w:rPr>
  </w:style>
  <w:style w:type="paragraph" w:customStyle="1" w:styleId="AbstractTitle">
    <w:name w:val="Abstract Title"/>
    <w:rsid w:val="00895D8C"/>
    <w:pPr>
      <w:spacing w:before="120" w:line="240" w:lineRule="auto"/>
    </w:pPr>
    <w:rPr>
      <w:rFonts w:ascii="Times New Roman" w:hAnsi="Times New Roman" w:cs="Times New Roman"/>
      <w:i/>
      <w:sz w:val="20"/>
    </w:rPr>
  </w:style>
  <w:style w:type="paragraph" w:customStyle="1" w:styleId="Author">
    <w:name w:val="Author"/>
    <w:rsid w:val="00E72719"/>
    <w:pPr>
      <w:spacing w:before="120" w:after="0" w:line="240" w:lineRule="auto"/>
    </w:pPr>
    <w:rPr>
      <w:rFonts w:ascii="Times New Roman" w:hAnsi="Times New Roman" w:cs="Times New Roman"/>
    </w:rPr>
  </w:style>
  <w:style w:type="paragraph" w:customStyle="1" w:styleId="AuthorNote">
    <w:name w:val="Author Note"/>
    <w:basedOn w:val="Author"/>
    <w:rsid w:val="00A817AE"/>
    <w:pPr>
      <w:spacing w:before="60"/>
    </w:pPr>
    <w:rPr>
      <w:i/>
      <w:sz w:val="20"/>
    </w:rPr>
  </w:style>
  <w:style w:type="paragraph" w:customStyle="1" w:styleId="FigureTitlte">
    <w:name w:val="Figure Titlte"/>
    <w:rsid w:val="00CB4EDA"/>
    <w:pPr>
      <w:spacing w:before="60" w:after="120" w:line="240" w:lineRule="auto"/>
      <w:jc w:val="center"/>
    </w:pPr>
    <w:rPr>
      <w:rFonts w:ascii="Times New Roman" w:hAnsi="Times New Roman" w:cs="Times New Roman"/>
      <w:b/>
      <w:sz w:val="20"/>
    </w:rPr>
  </w:style>
  <w:style w:type="character" w:customStyle="1" w:styleId="Heading1Char">
    <w:name w:val="Heading 1 Char"/>
    <w:basedOn w:val="DefaultParagraphFont"/>
    <w:link w:val="Heading1"/>
    <w:uiPriority w:val="9"/>
    <w:rsid w:val="00FB2DCC"/>
    <w:rPr>
      <w:rFonts w:ascii="Times New Roman" w:hAnsi="Times New Roman"/>
      <w:b/>
      <w:caps/>
      <w:sz w:val="20"/>
      <w:lang w:val="de-DE"/>
    </w:rPr>
  </w:style>
  <w:style w:type="character" w:customStyle="1" w:styleId="Heading2Char">
    <w:name w:val="Heading 2 Char"/>
    <w:basedOn w:val="DefaultParagraphFont"/>
    <w:link w:val="Heading2"/>
    <w:uiPriority w:val="9"/>
    <w:rsid w:val="00867A0D"/>
    <w:rPr>
      <w:rFonts w:ascii="Times New Roman" w:hAnsi="Times New Roman"/>
      <w:b/>
      <w:sz w:val="20"/>
      <w:lang w:val="de-DE"/>
    </w:rPr>
  </w:style>
  <w:style w:type="character" w:customStyle="1" w:styleId="Heading3Char">
    <w:name w:val="Heading 3 Char"/>
    <w:basedOn w:val="DefaultParagraphFont"/>
    <w:link w:val="Heading3"/>
    <w:uiPriority w:val="9"/>
    <w:rsid w:val="00867A0D"/>
    <w:rPr>
      <w:rFonts w:ascii="Times New Roman" w:eastAsiaTheme="majorEastAsia" w:hAnsi="Times New Roman" w:cs="Times New Roman"/>
      <w:bCs/>
      <w:i/>
      <w:sz w:val="20"/>
      <w:lang w:val="de-DE"/>
    </w:rPr>
  </w:style>
  <w:style w:type="paragraph" w:styleId="Title">
    <w:name w:val="Title"/>
    <w:basedOn w:val="Normal"/>
    <w:next w:val="Normal"/>
    <w:link w:val="TitleChar"/>
    <w:uiPriority w:val="10"/>
    <w:qFormat/>
    <w:rsid w:val="00000A64"/>
    <w:pPr>
      <w:spacing w:before="240" w:after="240"/>
    </w:pPr>
    <w:rPr>
      <w:rFonts w:cs="Times New Roman"/>
      <w:b/>
      <w:sz w:val="24"/>
      <w:szCs w:val="24"/>
    </w:rPr>
  </w:style>
  <w:style w:type="character" w:customStyle="1" w:styleId="TitleChar">
    <w:name w:val="Title Char"/>
    <w:basedOn w:val="DefaultParagraphFont"/>
    <w:link w:val="Title"/>
    <w:uiPriority w:val="10"/>
    <w:rsid w:val="00000A64"/>
    <w:rPr>
      <w:rFonts w:ascii="Times New Roman" w:hAnsi="Times New Roman" w:cs="Times New Roman"/>
      <w:b/>
      <w:sz w:val="24"/>
      <w:szCs w:val="24"/>
    </w:rPr>
  </w:style>
  <w:style w:type="paragraph" w:styleId="Subtitle">
    <w:name w:val="Subtitle"/>
    <w:basedOn w:val="Normal"/>
    <w:next w:val="Normal"/>
    <w:link w:val="SubtitleChar"/>
    <w:rsid w:val="00DD6A50"/>
    <w:pPr>
      <w:numPr>
        <w:ilvl w:val="1"/>
      </w:numPr>
      <w:spacing w:before="120" w:after="120"/>
      <w:ind w:firstLine="284"/>
    </w:pPr>
    <w:rPr>
      <w:rFonts w:eastAsiaTheme="majorEastAsia" w:cstheme="majorBidi"/>
      <w:b/>
      <w:iCs/>
      <w:caps/>
      <w:sz w:val="20"/>
      <w:szCs w:val="24"/>
    </w:rPr>
  </w:style>
  <w:style w:type="character" w:customStyle="1" w:styleId="SubtitleChar">
    <w:name w:val="Subtitle Char"/>
    <w:basedOn w:val="DefaultParagraphFont"/>
    <w:link w:val="Subtitle"/>
    <w:rsid w:val="00DD6A50"/>
    <w:rPr>
      <w:rFonts w:ascii="Times New Roman" w:eastAsiaTheme="majorEastAsia" w:hAnsi="Times New Roman" w:cstheme="majorBidi"/>
      <w:b/>
      <w:iCs/>
      <w:caps/>
      <w:sz w:val="20"/>
      <w:szCs w:val="24"/>
    </w:rPr>
  </w:style>
  <w:style w:type="paragraph" w:customStyle="1" w:styleId="Note">
    <w:name w:val="Note"/>
    <w:rsid w:val="005F4F35"/>
    <w:pPr>
      <w:spacing w:before="60" w:after="120" w:line="240" w:lineRule="auto"/>
    </w:pPr>
    <w:rPr>
      <w:rFonts w:ascii="Times New Roman" w:eastAsiaTheme="majorEastAsia" w:hAnsi="Times New Roman" w:cstheme="majorBidi"/>
      <w:i/>
      <w:iCs/>
      <w:sz w:val="18"/>
      <w:szCs w:val="24"/>
    </w:rPr>
  </w:style>
  <w:style w:type="paragraph" w:customStyle="1" w:styleId="TableTitle">
    <w:name w:val="Table Title"/>
    <w:basedOn w:val="Normal"/>
    <w:rsid w:val="00CB4EDA"/>
    <w:pPr>
      <w:spacing w:before="120" w:after="60"/>
      <w:ind w:left="714" w:hanging="714"/>
      <w:jc w:val="both"/>
    </w:pPr>
    <w:rPr>
      <w:b/>
      <w:sz w:val="20"/>
    </w:rPr>
  </w:style>
  <w:style w:type="paragraph" w:styleId="BodyTextIndent3">
    <w:name w:val="Body Text Indent 3"/>
    <w:basedOn w:val="Normal"/>
    <w:link w:val="BodyTextIndent3Char"/>
    <w:uiPriority w:val="99"/>
    <w:semiHidden/>
    <w:unhideWhenUsed/>
    <w:rsid w:val="00C160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60C9"/>
    <w:rPr>
      <w:sz w:val="16"/>
      <w:szCs w:val="16"/>
    </w:rPr>
  </w:style>
  <w:style w:type="character" w:customStyle="1" w:styleId="Heading4Char">
    <w:name w:val="Heading 4 Char"/>
    <w:basedOn w:val="DefaultParagraphFont"/>
    <w:link w:val="Heading4"/>
    <w:uiPriority w:val="9"/>
    <w:rsid w:val="00EE1326"/>
    <w:rPr>
      <w:rFonts w:ascii="Times New Roman" w:eastAsiaTheme="majorEastAsia" w:hAnsi="Times New Roman" w:cs="Times New Roman"/>
      <w:bCs/>
      <w:i/>
      <w:iCs/>
      <w:sz w:val="20"/>
      <w:lang w:val="de-DE"/>
    </w:rPr>
  </w:style>
  <w:style w:type="character" w:customStyle="1" w:styleId="Heading5Char">
    <w:name w:val="Heading 5 Char"/>
    <w:basedOn w:val="DefaultParagraphFont"/>
    <w:link w:val="Heading5"/>
    <w:uiPriority w:val="9"/>
    <w:semiHidden/>
    <w:rsid w:val="005D419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D419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D419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D41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D4190"/>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D62E30"/>
    <w:rPr>
      <w:rFonts w:ascii="Tahoma" w:hAnsi="Tahoma" w:cs="Tahoma"/>
      <w:sz w:val="16"/>
      <w:szCs w:val="16"/>
    </w:rPr>
  </w:style>
  <w:style w:type="character" w:customStyle="1" w:styleId="BalloonTextChar">
    <w:name w:val="Balloon Text Char"/>
    <w:basedOn w:val="DefaultParagraphFont"/>
    <w:link w:val="BalloonText"/>
    <w:uiPriority w:val="99"/>
    <w:semiHidden/>
    <w:rsid w:val="00D62E30"/>
    <w:rPr>
      <w:rFonts w:ascii="Tahoma" w:hAnsi="Tahoma" w:cs="Tahoma"/>
      <w:sz w:val="16"/>
      <w:szCs w:val="16"/>
    </w:rPr>
  </w:style>
  <w:style w:type="table" w:styleId="TableGrid">
    <w:name w:val="Table Grid"/>
    <w:basedOn w:val="TableNormal"/>
    <w:rsid w:val="00411E62"/>
    <w:pPr>
      <w:spacing w:after="0" w:line="240" w:lineRule="auto"/>
    </w:pPr>
    <w:rPr>
      <w:rFonts w:ascii="Times New Roman" w:eastAsia="Times New Roman" w:hAnsi="Times New Roman" w:cs="Times New Roman"/>
      <w:sz w:val="24"/>
      <w:szCs w:val="20"/>
    </w:rPr>
    <w:tblPr>
      <w:tblBorders>
        <w:top w:val="single" w:sz="12" w:space="0" w:color="auto"/>
        <w:bottom w:val="single" w:sz="12" w:space="0" w:color="auto"/>
        <w:insideH w:val="single" w:sz="2" w:space="0" w:color="auto"/>
      </w:tblBorders>
      <w:tblCellMar>
        <w:left w:w="14" w:type="dxa"/>
        <w:right w:w="14" w:type="dxa"/>
      </w:tblCellMar>
    </w:tblPr>
    <w:trPr>
      <w:tblHeader/>
    </w:trPr>
  </w:style>
  <w:style w:type="table" w:customStyle="1" w:styleId="table">
    <w:name w:val="table"/>
    <w:basedOn w:val="TableNormal"/>
    <w:uiPriority w:val="99"/>
    <w:rsid w:val="0048092F"/>
    <w:pPr>
      <w:spacing w:after="0" w:line="240" w:lineRule="auto"/>
    </w:pPr>
    <w:rPr>
      <w:rFonts w:ascii="Times New Roman" w:hAnsi="Times New Roman"/>
      <w:sz w:val="20"/>
    </w:rPr>
    <w:tblPr>
      <w:tblBorders>
        <w:top w:val="single" w:sz="4" w:space="0" w:color="auto"/>
        <w:bottom w:val="single" w:sz="4" w:space="0" w:color="auto"/>
      </w:tblBorders>
    </w:tblPr>
    <w:tcPr>
      <w:vAlign w:val="center"/>
    </w:tcPr>
    <w:tblStylePr w:type="firstRow">
      <w:tblPr/>
      <w:tcPr>
        <w:tcBorders>
          <w:top w:val="single" w:sz="8" w:space="0" w:color="auto"/>
          <w:left w:val="nil"/>
          <w:bottom w:val="single" w:sz="8" w:space="0" w:color="auto"/>
          <w:right w:val="nil"/>
          <w:insideH w:val="nil"/>
          <w:insideV w:val="nil"/>
          <w:tl2br w:val="nil"/>
          <w:tr2bl w:val="nil"/>
        </w:tcBorders>
      </w:tcPr>
    </w:tblStylePr>
  </w:style>
  <w:style w:type="paragraph" w:styleId="Header">
    <w:name w:val="header"/>
    <w:basedOn w:val="Normal"/>
    <w:link w:val="HeaderChar"/>
    <w:uiPriority w:val="99"/>
    <w:unhideWhenUsed/>
    <w:rsid w:val="006C5ECA"/>
    <w:pPr>
      <w:tabs>
        <w:tab w:val="center" w:pos="4680"/>
        <w:tab w:val="right" w:pos="9360"/>
      </w:tabs>
    </w:pPr>
  </w:style>
  <w:style w:type="character" w:customStyle="1" w:styleId="HeaderChar">
    <w:name w:val="Header Char"/>
    <w:basedOn w:val="DefaultParagraphFont"/>
    <w:link w:val="Header"/>
    <w:uiPriority w:val="99"/>
    <w:rsid w:val="006C5ECA"/>
    <w:rPr>
      <w:rFonts w:ascii="Times New Roman" w:hAnsi="Times New Roman"/>
    </w:rPr>
  </w:style>
  <w:style w:type="paragraph" w:styleId="Footer">
    <w:name w:val="footer"/>
    <w:basedOn w:val="Normal"/>
    <w:link w:val="FooterChar"/>
    <w:uiPriority w:val="99"/>
    <w:unhideWhenUsed/>
    <w:rsid w:val="006C5ECA"/>
    <w:pPr>
      <w:tabs>
        <w:tab w:val="center" w:pos="4680"/>
        <w:tab w:val="right" w:pos="9360"/>
      </w:tabs>
    </w:pPr>
  </w:style>
  <w:style w:type="character" w:customStyle="1" w:styleId="FooterChar">
    <w:name w:val="Footer Char"/>
    <w:basedOn w:val="DefaultParagraphFont"/>
    <w:link w:val="Footer"/>
    <w:uiPriority w:val="99"/>
    <w:rsid w:val="006C5ECA"/>
    <w:rPr>
      <w:rFonts w:ascii="Times New Roman" w:hAnsi="Times New Roman"/>
    </w:rPr>
  </w:style>
  <w:style w:type="paragraph" w:customStyle="1" w:styleId="trichdan">
    <w:name w:val="trichdan"/>
    <w:basedOn w:val="Abstract"/>
    <w:link w:val="trichdanChar"/>
    <w:qFormat/>
    <w:rsid w:val="0007535C"/>
    <w:pPr>
      <w:ind w:left="862" w:hanging="851"/>
    </w:pPr>
    <w:rPr>
      <w:rFonts w:eastAsia="Times New Roman"/>
      <w:i w:val="0"/>
      <w:szCs w:val="20"/>
      <w:lang w:val="de-DE"/>
    </w:rPr>
  </w:style>
  <w:style w:type="character" w:customStyle="1" w:styleId="AbstractChar">
    <w:name w:val="Abstract Char"/>
    <w:basedOn w:val="DefaultParagraphFont"/>
    <w:link w:val="Abstract"/>
    <w:rsid w:val="0007535C"/>
    <w:rPr>
      <w:rFonts w:ascii="Times New Roman" w:hAnsi="Times New Roman" w:cs="Times New Roman"/>
      <w:i/>
      <w:sz w:val="20"/>
    </w:rPr>
  </w:style>
  <w:style w:type="character" w:customStyle="1" w:styleId="trichdanChar">
    <w:name w:val="trichdan Char"/>
    <w:basedOn w:val="AbstractChar"/>
    <w:link w:val="trichdan"/>
    <w:rsid w:val="0007535C"/>
    <w:rPr>
      <w:rFonts w:ascii="Times New Roman" w:eastAsia="Times New Roman" w:hAnsi="Times New Roman" w:cs="Times New Roman"/>
      <w:i w:val="0"/>
      <w:sz w:val="20"/>
      <w:szCs w:val="20"/>
      <w:lang w:val="de-DE"/>
    </w:rPr>
  </w:style>
  <w:style w:type="character" w:styleId="Hyperlink">
    <w:name w:val="Hyperlink"/>
    <w:basedOn w:val="DefaultParagraphFont"/>
    <w:uiPriority w:val="99"/>
    <w:unhideWhenUsed/>
    <w:rsid w:val="004547E7"/>
    <w:rPr>
      <w:color w:val="0000FF" w:themeColor="hyperlink"/>
      <w:u w:val="single"/>
    </w:rPr>
  </w:style>
  <w:style w:type="character" w:customStyle="1" w:styleId="TextChar">
    <w:name w:val="Text Char"/>
    <w:link w:val="Text"/>
    <w:rsid w:val="004547E7"/>
    <w:rPr>
      <w:rFonts w:ascii="Times New Roman" w:eastAsiaTheme="majorEastAsia" w:hAnsi="Times New Roman" w:cstheme="majorBidi"/>
      <w:bCs/>
      <w:sz w:val="20"/>
      <w:szCs w:val="26"/>
    </w:rPr>
  </w:style>
  <w:style w:type="paragraph" w:styleId="Caption">
    <w:name w:val="caption"/>
    <w:aliases w:val="Hình"/>
    <w:basedOn w:val="Normal"/>
    <w:next w:val="Normal"/>
    <w:uiPriority w:val="35"/>
    <w:unhideWhenUsed/>
    <w:qFormat/>
    <w:rsid w:val="004547E7"/>
    <w:pPr>
      <w:tabs>
        <w:tab w:val="left" w:pos="567"/>
      </w:tabs>
      <w:spacing w:before="120" w:after="120"/>
      <w:ind w:firstLine="567"/>
      <w:jc w:val="center"/>
    </w:pPr>
    <w:rPr>
      <w:b/>
      <w:iCs/>
      <w:szCs w:val="18"/>
      <w:lang w:val="vi-VN"/>
    </w:rPr>
  </w:style>
  <w:style w:type="paragraph" w:customStyle="1" w:styleId="TableParagraph">
    <w:name w:val="Table Paragraph"/>
    <w:basedOn w:val="Normal"/>
    <w:uiPriority w:val="1"/>
    <w:qFormat/>
    <w:rsid w:val="00E84DF8"/>
    <w:pPr>
      <w:widowControl w:val="0"/>
      <w:autoSpaceDE w:val="0"/>
      <w:autoSpaceDN w:val="0"/>
      <w:spacing w:before="120" w:line="280" w:lineRule="exact"/>
      <w:ind w:firstLine="567"/>
      <w:jc w:val="center"/>
    </w:pPr>
    <w:rPr>
      <w:rFonts w:eastAsia="Times New Roman" w:cs="Times New Roman"/>
      <w:b/>
    </w:rPr>
  </w:style>
  <w:style w:type="character" w:customStyle="1" w:styleId="nowrap">
    <w:name w:val="nowrap"/>
    <w:basedOn w:val="DefaultParagraphFont"/>
    <w:rsid w:val="00E84DF8"/>
  </w:style>
  <w:style w:type="character" w:styleId="UnresolvedMention">
    <w:name w:val="Unresolved Mention"/>
    <w:basedOn w:val="DefaultParagraphFont"/>
    <w:uiPriority w:val="99"/>
    <w:semiHidden/>
    <w:unhideWhenUsed/>
    <w:rsid w:val="00F36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73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tiff"/><Relationship Id="rId26"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tiff"/><Relationship Id="rId25"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image" Target="media/image7.tiff"/><Relationship Id="rId20" Type="http://schemas.openxmlformats.org/officeDocument/2006/relationships/image" Target="media/image11.tiff"/><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chart" Target="charts/chart2.xml"/><Relationship Id="rId28" Type="http://schemas.openxmlformats.org/officeDocument/2006/relationships/chart" Target="charts/chart7.xml"/><Relationship Id="rId10" Type="http://schemas.openxmlformats.org/officeDocument/2006/relationships/footer" Target="footer1.xml"/><Relationship Id="rId19" Type="http://schemas.openxmlformats.org/officeDocument/2006/relationships/image" Target="media/image10.tif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chart" Target="charts/chart6.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Vol%2015-2\Template%20(ENG).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G:\My%20Drive\08%20Nghi&#234;n%20c&#7913;u\GO%20FE304\k&#7871;t%20qu&#7843;%20h&#7845;p%20ph&#790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My%20Drive\08%20Nghi&#234;n%20c&#7913;u\GO%20FE304\Copy%20of%20Copy%20of%20k&#7871;t%20qu&#7843;%20h&#7845;p%20ph&#790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My%20Drive\08%20Nghi&#234;n%20c&#7913;u\GO%20FE304\Copy%20of%20Copy%20of%20k&#7871;t%20qu&#7843;%20h&#7845;p%20ph&#790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My%20Drive\08%20Nghi&#234;n%20c&#7913;u\GO%20FE304\Copy%20of%20Copy%20of%20k&#7871;t%20qu&#7843;%20h&#7845;p%20ph&#790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My%20Drive\08%20Nghi&#234;n%20c&#7913;u\GO%20FE304\Copy%20of%20Copy%20of%20k&#7871;t%20qu&#7843;%20h&#7845;p%20ph&#7909;.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273;&#7873;%20t&#224;i\LUAN%20VAN\LVTN\Hap%20phu\k&#7871;t%20qu&#7843;%20h&#7845;p%20ph&#7909;x.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73;&#7873;%20t&#224;i\LUAN%20VAN\LVTN\Hap%20phu\k&#7871;t%20qu&#7843;%20h&#7845;p%20ph&#7909;x.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LU&#7852;N%20V&#258;N\k&#7871;t%20qu&#7843;%20h&#7845;p%20ph&#7909;x%20(n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67670707828188"/>
          <c:y val="0.1298139004937334"/>
          <c:w val="0.56246005204103056"/>
          <c:h val="0.60388451443569557"/>
        </c:manualLayout>
      </c:layout>
      <c:barChart>
        <c:barDir val="col"/>
        <c:grouping val="clustered"/>
        <c:varyColors val="0"/>
        <c:ser>
          <c:idx val="0"/>
          <c:order val="0"/>
          <c:tx>
            <c:strRef>
              <c:f>'Hấp phụ vật liệu'!$N$22</c:f>
              <c:strCache>
                <c:ptCount val="1"/>
                <c:pt idx="0">
                  <c:v>E</c:v>
                </c:pt>
              </c:strCache>
            </c:strRef>
          </c:tx>
          <c:invertIfNegative val="0"/>
          <c:errBars>
            <c:errBarType val="both"/>
            <c:errValType val="cust"/>
            <c:noEndCap val="0"/>
            <c:plus>
              <c:numRef>
                <c:f>'Hấp phụ vật liệu'!$P$23:$P$25</c:f>
                <c:numCache>
                  <c:formatCode>General</c:formatCode>
                  <c:ptCount val="3"/>
                  <c:pt idx="0">
                    <c:v>1.575614112160368</c:v>
                  </c:pt>
                  <c:pt idx="1">
                    <c:v>1.2764441146340384</c:v>
                  </c:pt>
                  <c:pt idx="2">
                    <c:v>0.53356669768281417</c:v>
                  </c:pt>
                </c:numCache>
              </c:numRef>
            </c:plus>
            <c:minus>
              <c:numRef>
                <c:f>'Hấp phụ vật liệu'!$P$23:$P$25</c:f>
                <c:numCache>
                  <c:formatCode>General</c:formatCode>
                  <c:ptCount val="3"/>
                  <c:pt idx="0">
                    <c:v>1.575614112160368</c:v>
                  </c:pt>
                  <c:pt idx="1">
                    <c:v>1.2764441146340384</c:v>
                  </c:pt>
                  <c:pt idx="2">
                    <c:v>0.53356669768281417</c:v>
                  </c:pt>
                </c:numCache>
              </c:numRef>
            </c:minus>
          </c:errBars>
          <c:cat>
            <c:strRef>
              <c:f>'Hấp phụ vật liệu'!$M$23:$M$25</c:f>
              <c:strCache>
                <c:ptCount val="3"/>
                <c:pt idx="0">
                  <c:v>FGP-1</c:v>
                </c:pt>
                <c:pt idx="1">
                  <c:v>FGP-3</c:v>
                </c:pt>
                <c:pt idx="2">
                  <c:v>FGP-6</c:v>
                </c:pt>
              </c:strCache>
            </c:strRef>
          </c:cat>
          <c:val>
            <c:numRef>
              <c:f>'Hấp phụ vật liệu'!$N$23:$N$25</c:f>
              <c:numCache>
                <c:formatCode>General</c:formatCode>
                <c:ptCount val="3"/>
                <c:pt idx="0">
                  <c:v>15.673652694610766</c:v>
                </c:pt>
                <c:pt idx="1">
                  <c:v>23.491350632069185</c:v>
                </c:pt>
                <c:pt idx="2">
                  <c:v>21.794743845642042</c:v>
                </c:pt>
              </c:numCache>
            </c:numRef>
          </c:val>
          <c:extLst>
            <c:ext xmlns:c16="http://schemas.microsoft.com/office/drawing/2014/chart" uri="{C3380CC4-5D6E-409C-BE32-E72D297353CC}">
              <c16:uniqueId val="{00000000-974F-4ED4-99F2-21FBDF12155B}"/>
            </c:ext>
          </c:extLst>
        </c:ser>
        <c:dLbls>
          <c:showLegendKey val="0"/>
          <c:showVal val="0"/>
          <c:showCatName val="0"/>
          <c:showSerName val="0"/>
          <c:showPercent val="0"/>
          <c:showBubbleSize val="0"/>
        </c:dLbls>
        <c:gapWidth val="300"/>
        <c:axId val="131036672"/>
        <c:axId val="131038208"/>
      </c:barChart>
      <c:lineChart>
        <c:grouping val="standard"/>
        <c:varyColors val="0"/>
        <c:ser>
          <c:idx val="1"/>
          <c:order val="1"/>
          <c:tx>
            <c:strRef>
              <c:f>'Hấp phụ vật liệu'!$O$22</c:f>
              <c:strCache>
                <c:ptCount val="1"/>
                <c:pt idx="0">
                  <c:v>qe</c:v>
                </c:pt>
              </c:strCache>
            </c:strRef>
          </c:tx>
          <c:spPr>
            <a:ln w="12700"/>
          </c:spPr>
          <c:marker>
            <c:symbol val="none"/>
          </c:marker>
          <c:cat>
            <c:strRef>
              <c:f>'Hấp phụ vật liệu'!$M$23:$M$25</c:f>
              <c:strCache>
                <c:ptCount val="3"/>
                <c:pt idx="0">
                  <c:v>FGP-1</c:v>
                </c:pt>
                <c:pt idx="1">
                  <c:v>FGP-3</c:v>
                </c:pt>
                <c:pt idx="2">
                  <c:v>FGP-6</c:v>
                </c:pt>
              </c:strCache>
            </c:strRef>
          </c:cat>
          <c:val>
            <c:numRef>
              <c:f>'Hấp phụ vật liệu'!$O$23:$O$25</c:f>
              <c:numCache>
                <c:formatCode>General</c:formatCode>
                <c:ptCount val="3"/>
                <c:pt idx="0">
                  <c:v>7.836826347305383</c:v>
                </c:pt>
                <c:pt idx="1">
                  <c:v>11.745675316034593</c:v>
                </c:pt>
                <c:pt idx="2">
                  <c:v>10.897371922821023</c:v>
                </c:pt>
              </c:numCache>
            </c:numRef>
          </c:val>
          <c:smooth val="0"/>
          <c:extLst>
            <c:ext xmlns:c16="http://schemas.microsoft.com/office/drawing/2014/chart" uri="{C3380CC4-5D6E-409C-BE32-E72D297353CC}">
              <c16:uniqueId val="{00000001-974F-4ED4-99F2-21FBDF12155B}"/>
            </c:ext>
          </c:extLst>
        </c:ser>
        <c:dLbls>
          <c:showLegendKey val="0"/>
          <c:showVal val="0"/>
          <c:showCatName val="0"/>
          <c:showSerName val="0"/>
          <c:showPercent val="0"/>
          <c:showBubbleSize val="0"/>
        </c:dLbls>
        <c:marker val="1"/>
        <c:smooth val="0"/>
        <c:axId val="131042304"/>
        <c:axId val="131040384"/>
      </c:lineChart>
      <c:catAx>
        <c:axId val="131036672"/>
        <c:scaling>
          <c:orientation val="minMax"/>
        </c:scaling>
        <c:delete val="0"/>
        <c:axPos val="b"/>
        <c:numFmt formatCode="General" sourceLinked="0"/>
        <c:majorTickMark val="out"/>
        <c:minorTickMark val="none"/>
        <c:tickLblPos val="nextTo"/>
        <c:crossAx val="131038208"/>
        <c:crosses val="autoZero"/>
        <c:auto val="1"/>
        <c:lblAlgn val="ctr"/>
        <c:lblOffset val="100"/>
        <c:noMultiLvlLbl val="0"/>
      </c:catAx>
      <c:valAx>
        <c:axId val="131038208"/>
        <c:scaling>
          <c:orientation val="minMax"/>
          <c:max val="40"/>
        </c:scaling>
        <c:delete val="0"/>
        <c:axPos val="l"/>
        <c:majorGridlines>
          <c:spPr>
            <a:ln>
              <a:gradFill>
                <a:gsLst>
                  <a:gs pos="29150">
                    <a:srgbClr val="B1CFF7"/>
                  </a:gs>
                  <a:gs pos="0">
                    <a:schemeClr val="accent1">
                      <a:tint val="66000"/>
                      <a:satMod val="160000"/>
                    </a:schemeClr>
                  </a:gs>
                  <a:gs pos="29000">
                    <a:schemeClr val="accent1">
                      <a:tint val="44500"/>
                      <a:satMod val="160000"/>
                    </a:schemeClr>
                  </a:gs>
                  <a:gs pos="100000">
                    <a:schemeClr val="accent1">
                      <a:tint val="23500"/>
                      <a:satMod val="160000"/>
                    </a:schemeClr>
                  </a:gs>
                </a:gsLst>
                <a:lin ang="5400000" scaled="0"/>
              </a:gradFill>
            </a:ln>
          </c:spPr>
        </c:majorGridlines>
        <c:title>
          <c:tx>
            <c:rich>
              <a:bodyPr rot="-5400000" vert="horz"/>
              <a:lstStyle/>
              <a:p>
                <a:pPr>
                  <a:defRPr sz="1000" b="0"/>
                </a:pPr>
                <a:r>
                  <a:rPr lang="en-US" sz="1000" b="0"/>
                  <a:t>Efficiency </a:t>
                </a:r>
                <a:r>
                  <a:rPr lang="en-US" sz="1000" b="0" baseline="0"/>
                  <a:t>(%)</a:t>
                </a:r>
                <a:endParaRPr lang="en-US" sz="1000" b="0"/>
              </a:p>
            </c:rich>
          </c:tx>
          <c:layout>
            <c:manualLayout>
              <c:xMode val="edge"/>
              <c:yMode val="edge"/>
              <c:x val="3.8594764935288017E-2"/>
              <c:y val="0.16800933216681252"/>
            </c:manualLayout>
          </c:layout>
          <c:overlay val="0"/>
        </c:title>
        <c:numFmt formatCode="General" sourceLinked="1"/>
        <c:majorTickMark val="out"/>
        <c:minorTickMark val="none"/>
        <c:tickLblPos val="nextTo"/>
        <c:crossAx val="131036672"/>
        <c:crosses val="autoZero"/>
        <c:crossBetween val="between"/>
        <c:majorUnit val="10"/>
      </c:valAx>
      <c:valAx>
        <c:axId val="131040384"/>
        <c:scaling>
          <c:orientation val="minMax"/>
          <c:max val="25"/>
          <c:min val="0"/>
        </c:scaling>
        <c:delete val="0"/>
        <c:axPos val="r"/>
        <c:title>
          <c:tx>
            <c:rich>
              <a:bodyPr rot="-5400000" vert="horz"/>
              <a:lstStyle/>
              <a:p>
                <a:pPr>
                  <a:defRPr sz="1000" b="0"/>
                </a:pPr>
                <a:r>
                  <a:rPr lang="en-US" sz="1000" b="0"/>
                  <a:t>q</a:t>
                </a:r>
                <a:r>
                  <a:rPr lang="en-US" sz="1000" b="0" baseline="0"/>
                  <a:t>e</a:t>
                </a:r>
                <a:r>
                  <a:rPr lang="en-US" sz="1000" b="0"/>
                  <a:t> (mg.g</a:t>
                </a:r>
                <a:r>
                  <a:rPr lang="en-US" sz="1000" b="0" baseline="30000"/>
                  <a:t>-1</a:t>
                </a:r>
                <a:r>
                  <a:rPr lang="en-US" sz="1000" b="0"/>
                  <a:t>)</a:t>
                </a:r>
              </a:p>
            </c:rich>
          </c:tx>
          <c:layout>
            <c:manualLayout>
              <c:xMode val="edge"/>
              <c:yMode val="edge"/>
              <c:x val="0.91572830934511851"/>
              <c:y val="0.19816331291921846"/>
            </c:manualLayout>
          </c:layout>
          <c:overlay val="0"/>
        </c:title>
        <c:numFmt formatCode="General" sourceLinked="1"/>
        <c:majorTickMark val="out"/>
        <c:minorTickMark val="none"/>
        <c:tickLblPos val="nextTo"/>
        <c:txPr>
          <a:bodyPr/>
          <a:lstStyle/>
          <a:p>
            <a:pPr>
              <a:defRPr sz="1000"/>
            </a:pPr>
            <a:endParaRPr lang="en-US"/>
          </a:p>
        </c:txPr>
        <c:crossAx val="131042304"/>
        <c:crosses val="max"/>
        <c:crossBetween val="between"/>
        <c:majorUnit val="10"/>
      </c:valAx>
      <c:catAx>
        <c:axId val="131042304"/>
        <c:scaling>
          <c:orientation val="minMax"/>
        </c:scaling>
        <c:delete val="1"/>
        <c:axPos val="b"/>
        <c:numFmt formatCode="General" sourceLinked="1"/>
        <c:majorTickMark val="out"/>
        <c:minorTickMark val="none"/>
        <c:tickLblPos val="nextTo"/>
        <c:crossAx val="131040384"/>
        <c:crosses val="autoZero"/>
        <c:auto val="1"/>
        <c:lblAlgn val="ctr"/>
        <c:lblOffset val="100"/>
        <c:noMultiLvlLbl val="0"/>
      </c:catAx>
    </c:plotArea>
    <c:legend>
      <c:legendPos val="b"/>
      <c:layout>
        <c:manualLayout>
          <c:xMode val="edge"/>
          <c:yMode val="edge"/>
          <c:x val="0.1993799186090158"/>
          <c:y val="0.89215456401283177"/>
          <c:w val="0.55583929144205191"/>
          <c:h val="9.5167866891634506E-2"/>
        </c:manualLayout>
      </c:layout>
      <c:overlay val="0"/>
    </c:legend>
    <c:plotVisOnly val="1"/>
    <c:dispBlanksAs val="gap"/>
    <c:showDLblsOverMax val="0"/>
  </c:chart>
  <c:spPr>
    <a:ln>
      <a:noFill/>
    </a:ln>
  </c:spPr>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980827955487831"/>
          <c:y val="9.389171125380126E-2"/>
          <c:w val="0.61830066153064711"/>
          <c:h val="0.6158550916001152"/>
        </c:manualLayout>
      </c:layout>
      <c:barChart>
        <c:barDir val="col"/>
        <c:grouping val="clustered"/>
        <c:varyColors val="0"/>
        <c:ser>
          <c:idx val="1"/>
          <c:order val="1"/>
          <c:tx>
            <c:strRef>
              <c:f>'Khảo sát pH'!$R$15</c:f>
              <c:strCache>
                <c:ptCount val="1"/>
                <c:pt idx="0">
                  <c:v>E, FGP-3</c:v>
                </c:pt>
              </c:strCache>
            </c:strRef>
          </c:tx>
          <c:spPr>
            <a:noFill/>
            <a:ln>
              <a:solidFill>
                <a:schemeClr val="accent1"/>
              </a:solidFill>
              <a:prstDash val="solid"/>
            </a:ln>
          </c:spPr>
          <c:invertIfNegative val="0"/>
          <c:cat>
            <c:numRef>
              <c:f>'Khảo sát pH'!$P$16:$P$19</c:f>
              <c:numCache>
                <c:formatCode>General</c:formatCode>
                <c:ptCount val="4"/>
                <c:pt idx="0">
                  <c:v>4.5</c:v>
                </c:pt>
                <c:pt idx="1">
                  <c:v>6.5</c:v>
                </c:pt>
                <c:pt idx="2">
                  <c:v>8.5</c:v>
                </c:pt>
                <c:pt idx="3">
                  <c:v>10.5</c:v>
                </c:pt>
              </c:numCache>
            </c:numRef>
          </c:cat>
          <c:val>
            <c:numRef>
              <c:f>'Khảo sát pH'!$R$16:$R$19</c:f>
              <c:numCache>
                <c:formatCode>General</c:formatCode>
                <c:ptCount val="4"/>
                <c:pt idx="0">
                  <c:v>18.967065868263465</c:v>
                </c:pt>
                <c:pt idx="1">
                  <c:v>19.466067864271452</c:v>
                </c:pt>
                <c:pt idx="2">
                  <c:v>23.491350632069185</c:v>
                </c:pt>
                <c:pt idx="3">
                  <c:v>26.551896207584821</c:v>
                </c:pt>
              </c:numCache>
            </c:numRef>
          </c:val>
          <c:extLst>
            <c:ext xmlns:c16="http://schemas.microsoft.com/office/drawing/2014/chart" uri="{C3380CC4-5D6E-409C-BE32-E72D297353CC}">
              <c16:uniqueId val="{00000000-0ABA-403E-8BA9-9831C1B721C5}"/>
            </c:ext>
          </c:extLst>
        </c:ser>
        <c:ser>
          <c:idx val="3"/>
          <c:order val="3"/>
          <c:tx>
            <c:strRef>
              <c:f>'Khảo sát pH'!$R$33</c:f>
              <c:strCache>
                <c:ptCount val="1"/>
                <c:pt idx="0">
                  <c:v>E, FPG-6</c:v>
                </c:pt>
              </c:strCache>
            </c:strRef>
          </c:tx>
          <c:spPr>
            <a:solidFill>
              <a:srgbClr val="0070C0"/>
            </a:solidFill>
            <a:ln w="12700" cmpd="dbl">
              <a:solidFill>
                <a:schemeClr val="tx1"/>
              </a:solidFill>
              <a:prstDash val="solid"/>
            </a:ln>
            <a:effectLst>
              <a:outerShdw blurRad="50800" dist="50800" dir="5400000" algn="ctr" rotWithShape="0">
                <a:srgbClr val="000000">
                  <a:alpha val="43137"/>
                </a:srgbClr>
              </a:outerShdw>
            </a:effectLst>
          </c:spPr>
          <c:invertIfNegative val="0"/>
          <c:val>
            <c:numRef>
              <c:f>'Khảo sát pH'!$R$34:$R$37</c:f>
              <c:numCache>
                <c:formatCode>General</c:formatCode>
                <c:ptCount val="4"/>
                <c:pt idx="0">
                  <c:v>14.525948103792414</c:v>
                </c:pt>
                <c:pt idx="1">
                  <c:v>17.054224883566196</c:v>
                </c:pt>
                <c:pt idx="2">
                  <c:v>21.794743845642042</c:v>
                </c:pt>
                <c:pt idx="3">
                  <c:v>28.398203592814365</c:v>
                </c:pt>
              </c:numCache>
            </c:numRef>
          </c:val>
          <c:extLst>
            <c:ext xmlns:c16="http://schemas.microsoft.com/office/drawing/2014/chart" uri="{C3380CC4-5D6E-409C-BE32-E72D297353CC}">
              <c16:uniqueId val="{00000001-0ABA-403E-8BA9-9831C1B721C5}"/>
            </c:ext>
          </c:extLst>
        </c:ser>
        <c:dLbls>
          <c:showLegendKey val="0"/>
          <c:showVal val="0"/>
          <c:showCatName val="0"/>
          <c:showSerName val="0"/>
          <c:showPercent val="0"/>
          <c:showBubbleSize val="0"/>
        </c:dLbls>
        <c:gapWidth val="150"/>
        <c:axId val="131131264"/>
        <c:axId val="131137920"/>
      </c:barChart>
      <c:lineChart>
        <c:grouping val="standard"/>
        <c:varyColors val="0"/>
        <c:ser>
          <c:idx val="0"/>
          <c:order val="0"/>
          <c:tx>
            <c:strRef>
              <c:f>'Khảo sát pH'!$Q$15</c:f>
              <c:strCache>
                <c:ptCount val="1"/>
                <c:pt idx="0">
                  <c:v>qe, FGP-3</c:v>
                </c:pt>
              </c:strCache>
            </c:strRef>
          </c:tx>
          <c:spPr>
            <a:ln>
              <a:solidFill>
                <a:schemeClr val="tx1"/>
              </a:solidFill>
            </a:ln>
          </c:spPr>
          <c:marker>
            <c:symbol val="diamond"/>
            <c:size val="3"/>
            <c:spPr>
              <a:solidFill>
                <a:schemeClr val="tx1"/>
              </a:solidFill>
            </c:spPr>
          </c:marker>
          <c:cat>
            <c:numRef>
              <c:f>'Khảo sát pH'!$P$16:$P$19</c:f>
              <c:numCache>
                <c:formatCode>General</c:formatCode>
                <c:ptCount val="4"/>
                <c:pt idx="0">
                  <c:v>4.5</c:v>
                </c:pt>
                <c:pt idx="1">
                  <c:v>6.5</c:v>
                </c:pt>
                <c:pt idx="2">
                  <c:v>8.5</c:v>
                </c:pt>
                <c:pt idx="3">
                  <c:v>10.5</c:v>
                </c:pt>
              </c:numCache>
            </c:numRef>
          </c:cat>
          <c:val>
            <c:numRef>
              <c:f>'Khảo sát pH'!$Q$16:$Q$19</c:f>
              <c:numCache>
                <c:formatCode>General</c:formatCode>
                <c:ptCount val="4"/>
                <c:pt idx="0">
                  <c:v>9.4835329341317323</c:v>
                </c:pt>
                <c:pt idx="1">
                  <c:v>9.7330339321357275</c:v>
                </c:pt>
                <c:pt idx="2">
                  <c:v>11.745675316034593</c:v>
                </c:pt>
                <c:pt idx="3">
                  <c:v>13.275948103792411</c:v>
                </c:pt>
              </c:numCache>
            </c:numRef>
          </c:val>
          <c:smooth val="0"/>
          <c:extLst>
            <c:ext xmlns:c16="http://schemas.microsoft.com/office/drawing/2014/chart" uri="{C3380CC4-5D6E-409C-BE32-E72D297353CC}">
              <c16:uniqueId val="{00000002-0ABA-403E-8BA9-9831C1B721C5}"/>
            </c:ext>
          </c:extLst>
        </c:ser>
        <c:ser>
          <c:idx val="2"/>
          <c:order val="2"/>
          <c:tx>
            <c:strRef>
              <c:f>'Khảo sát pH'!$Q$33</c:f>
              <c:strCache>
                <c:ptCount val="1"/>
                <c:pt idx="0">
                  <c:v>qe, FGP-6</c:v>
                </c:pt>
              </c:strCache>
            </c:strRef>
          </c:tx>
          <c:spPr>
            <a:ln>
              <a:solidFill>
                <a:srgbClr val="FF0000"/>
              </a:solidFill>
              <a:prstDash val="sysDash"/>
            </a:ln>
          </c:spPr>
          <c:marker>
            <c:symbol val="triangle"/>
            <c:size val="3"/>
            <c:spPr>
              <a:solidFill>
                <a:srgbClr val="0070C0"/>
              </a:solidFill>
            </c:spPr>
          </c:marker>
          <c:dPt>
            <c:idx val="1"/>
            <c:marker>
              <c:spPr>
                <a:solidFill>
                  <a:srgbClr val="0070C0"/>
                </a:solidFill>
                <a:ln>
                  <a:prstDash val="sysDash"/>
                </a:ln>
              </c:spPr>
            </c:marker>
            <c:bubble3D val="0"/>
            <c:extLst>
              <c:ext xmlns:c16="http://schemas.microsoft.com/office/drawing/2014/chart" uri="{C3380CC4-5D6E-409C-BE32-E72D297353CC}">
                <c16:uniqueId val="{00000003-0ABA-403E-8BA9-9831C1B721C5}"/>
              </c:ext>
            </c:extLst>
          </c:dPt>
          <c:val>
            <c:numRef>
              <c:f>'Khảo sát pH'!$Q$34:$Q$37</c:f>
              <c:numCache>
                <c:formatCode>General</c:formatCode>
                <c:ptCount val="4"/>
                <c:pt idx="0">
                  <c:v>7.2629740518962027</c:v>
                </c:pt>
                <c:pt idx="1">
                  <c:v>8.5271124417830979</c:v>
                </c:pt>
                <c:pt idx="2">
                  <c:v>10.897371922821023</c:v>
                </c:pt>
                <c:pt idx="3">
                  <c:v>14.199101796407181</c:v>
                </c:pt>
              </c:numCache>
            </c:numRef>
          </c:val>
          <c:smooth val="0"/>
          <c:extLst>
            <c:ext xmlns:c16="http://schemas.microsoft.com/office/drawing/2014/chart" uri="{C3380CC4-5D6E-409C-BE32-E72D297353CC}">
              <c16:uniqueId val="{00000004-0ABA-403E-8BA9-9831C1B721C5}"/>
            </c:ext>
          </c:extLst>
        </c:ser>
        <c:dLbls>
          <c:showLegendKey val="0"/>
          <c:showVal val="0"/>
          <c:showCatName val="0"/>
          <c:showSerName val="0"/>
          <c:showPercent val="0"/>
          <c:showBubbleSize val="0"/>
        </c:dLbls>
        <c:marker val="1"/>
        <c:smooth val="0"/>
        <c:axId val="131150208"/>
        <c:axId val="131139840"/>
      </c:lineChart>
      <c:catAx>
        <c:axId val="131131264"/>
        <c:scaling>
          <c:orientation val="minMax"/>
        </c:scaling>
        <c:delete val="0"/>
        <c:axPos val="b"/>
        <c:title>
          <c:tx>
            <c:rich>
              <a:bodyPr/>
              <a:lstStyle/>
              <a:p>
                <a:pPr>
                  <a:defRPr sz="1100" b="0"/>
                </a:pPr>
                <a:r>
                  <a:rPr lang="en-US" sz="1100" b="0"/>
                  <a:t>pH</a:t>
                </a:r>
              </a:p>
            </c:rich>
          </c:tx>
          <c:layout>
            <c:manualLayout>
              <c:xMode val="edge"/>
              <c:yMode val="edge"/>
              <c:x val="0.48642388451443569"/>
              <c:y val="0.8267752135122457"/>
            </c:manualLayout>
          </c:layout>
          <c:overlay val="0"/>
        </c:title>
        <c:numFmt formatCode="General" sourceLinked="0"/>
        <c:majorTickMark val="out"/>
        <c:minorTickMark val="none"/>
        <c:tickLblPos val="nextTo"/>
        <c:crossAx val="131137920"/>
        <c:crosses val="autoZero"/>
        <c:auto val="1"/>
        <c:lblAlgn val="ctr"/>
        <c:lblOffset val="100"/>
        <c:noMultiLvlLbl val="0"/>
      </c:catAx>
      <c:valAx>
        <c:axId val="131137920"/>
        <c:scaling>
          <c:orientation val="minMax"/>
          <c:max val="40"/>
        </c:scaling>
        <c:delete val="0"/>
        <c:axPos val="l"/>
        <c:majorGridlines>
          <c:spPr>
            <a:ln>
              <a:gradFill>
                <a:gsLst>
                  <a:gs pos="0">
                    <a:schemeClr val="accent1">
                      <a:tint val="66000"/>
                      <a:satMod val="160000"/>
                    </a:schemeClr>
                  </a:gs>
                  <a:gs pos="23000">
                    <a:schemeClr val="accent1">
                      <a:tint val="44500"/>
                      <a:satMod val="160000"/>
                    </a:schemeClr>
                  </a:gs>
                  <a:gs pos="100000">
                    <a:schemeClr val="accent1">
                      <a:tint val="23500"/>
                      <a:satMod val="160000"/>
                    </a:schemeClr>
                  </a:gs>
                </a:gsLst>
                <a:lin ang="5400000" scaled="0"/>
              </a:gradFill>
            </a:ln>
          </c:spPr>
        </c:majorGridlines>
        <c:title>
          <c:tx>
            <c:rich>
              <a:bodyPr rot="-5400000" vert="horz"/>
              <a:lstStyle/>
              <a:p>
                <a:pPr>
                  <a:defRPr sz="1100" b="0">
                    <a:latin typeface="Times New Roman" panose="02020603050405020304" pitchFamily="18" charset="0"/>
                    <a:cs typeface="Times New Roman" panose="02020603050405020304" pitchFamily="18" charset="0"/>
                  </a:defRPr>
                </a:pPr>
                <a:r>
                  <a:rPr lang="en-US" sz="1100" b="0">
                    <a:latin typeface="Times New Roman" panose="02020603050405020304" pitchFamily="18" charset="0"/>
                    <a:cs typeface="Times New Roman" panose="02020603050405020304" pitchFamily="18" charset="0"/>
                  </a:rPr>
                  <a:t>Efficiency </a:t>
                </a:r>
                <a:r>
                  <a:rPr lang="en-US" sz="1100" b="0" baseline="0">
                    <a:latin typeface="Times New Roman" panose="02020603050405020304" pitchFamily="18" charset="0"/>
                    <a:cs typeface="Times New Roman" panose="02020603050405020304" pitchFamily="18" charset="0"/>
                  </a:rPr>
                  <a:t>(%)</a:t>
                </a:r>
                <a:endParaRPr lang="en-US" sz="1100" b="0">
                  <a:latin typeface="Times New Roman" panose="02020603050405020304" pitchFamily="18" charset="0"/>
                  <a:cs typeface="Times New Roman" panose="02020603050405020304" pitchFamily="18" charset="0"/>
                </a:endParaRPr>
              </a:p>
            </c:rich>
          </c:tx>
          <c:layout>
            <c:manualLayout>
              <c:xMode val="edge"/>
              <c:yMode val="edge"/>
              <c:x val="3.5806029257907906E-2"/>
              <c:y val="0.14900625281988666"/>
            </c:manualLayout>
          </c:layout>
          <c:overlay val="0"/>
        </c:title>
        <c:numFmt formatCode="General" sourceLinked="1"/>
        <c:majorTickMark val="out"/>
        <c:minorTickMark val="none"/>
        <c:tickLblPos val="nextTo"/>
        <c:crossAx val="131131264"/>
        <c:crosses val="autoZero"/>
        <c:crossBetween val="between"/>
        <c:majorUnit val="10"/>
      </c:valAx>
      <c:valAx>
        <c:axId val="131139840"/>
        <c:scaling>
          <c:orientation val="minMax"/>
          <c:max val="30"/>
        </c:scaling>
        <c:delete val="0"/>
        <c:axPos val="r"/>
        <c:title>
          <c:tx>
            <c:rich>
              <a:bodyPr rot="-5400000" vert="horz"/>
              <a:lstStyle/>
              <a:p>
                <a:pPr>
                  <a:defRPr sz="1100" b="0"/>
                </a:pPr>
                <a:r>
                  <a:rPr lang="en-US" sz="1100" b="0"/>
                  <a:t>qe</a:t>
                </a:r>
                <a:r>
                  <a:rPr lang="en-US" sz="1100" b="0" baseline="0"/>
                  <a:t> (mg.g</a:t>
                </a:r>
                <a:r>
                  <a:rPr lang="en-US" sz="1100" b="0" baseline="30000"/>
                  <a:t>-1</a:t>
                </a:r>
                <a:r>
                  <a:rPr lang="en-US" sz="1100" b="0" baseline="0"/>
                  <a:t>)</a:t>
                </a:r>
                <a:endParaRPr lang="en-US" sz="1100" b="0"/>
              </a:p>
            </c:rich>
          </c:tx>
          <c:layout>
            <c:manualLayout>
              <c:xMode val="edge"/>
              <c:yMode val="edge"/>
              <c:x val="0.91958345222267412"/>
              <c:y val="0.19925261851171164"/>
            </c:manualLayout>
          </c:layout>
          <c:overlay val="0"/>
        </c:title>
        <c:numFmt formatCode="General" sourceLinked="1"/>
        <c:majorTickMark val="out"/>
        <c:minorTickMark val="none"/>
        <c:tickLblPos val="nextTo"/>
        <c:txPr>
          <a:bodyPr rot="0" vert="horz"/>
          <a:lstStyle/>
          <a:p>
            <a:pPr>
              <a:defRPr/>
            </a:pPr>
            <a:endParaRPr lang="en-US"/>
          </a:p>
        </c:txPr>
        <c:crossAx val="131150208"/>
        <c:crosses val="max"/>
        <c:crossBetween val="between"/>
        <c:majorUnit val="10"/>
      </c:valAx>
      <c:catAx>
        <c:axId val="131150208"/>
        <c:scaling>
          <c:orientation val="minMax"/>
        </c:scaling>
        <c:delete val="1"/>
        <c:axPos val="b"/>
        <c:numFmt formatCode="General" sourceLinked="1"/>
        <c:majorTickMark val="out"/>
        <c:minorTickMark val="none"/>
        <c:tickLblPos val="nextTo"/>
        <c:crossAx val="131139840"/>
        <c:crosses val="autoZero"/>
        <c:auto val="1"/>
        <c:lblAlgn val="ctr"/>
        <c:lblOffset val="100"/>
        <c:noMultiLvlLbl val="0"/>
      </c:catAx>
    </c:plotArea>
    <c:legend>
      <c:legendPos val="b"/>
      <c:layout>
        <c:manualLayout>
          <c:xMode val="edge"/>
          <c:yMode val="edge"/>
          <c:x val="9.1801188691043548E-2"/>
          <c:y val="0.83550877765400722"/>
          <c:w val="0.85950942716586021"/>
          <c:h val="0.16449122234599275"/>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388314857267314"/>
          <c:y val="5.8255468066491692E-2"/>
          <c:w val="0.64421704670882374"/>
          <c:h val="0.62494830067638929"/>
        </c:manualLayout>
      </c:layout>
      <c:barChart>
        <c:barDir val="col"/>
        <c:grouping val="clustered"/>
        <c:varyColors val="0"/>
        <c:ser>
          <c:idx val="2"/>
          <c:order val="1"/>
          <c:tx>
            <c:strRef>
              <c:f>'Khảo sát nồng độ MB'!$U$16</c:f>
              <c:strCache>
                <c:ptCount val="1"/>
                <c:pt idx="0">
                  <c:v>E, FGP-3</c:v>
                </c:pt>
              </c:strCache>
            </c:strRef>
          </c:tx>
          <c:spPr>
            <a:noFill/>
            <a:ln w="12700">
              <a:solidFill>
                <a:srgbClr val="0070C0"/>
              </a:solidFill>
            </a:ln>
          </c:spPr>
          <c:invertIfNegative val="0"/>
          <c:cat>
            <c:numRef>
              <c:f>'Khảo sát nồng độ MB'!$R$17:$R$20</c:f>
              <c:numCache>
                <c:formatCode>General</c:formatCode>
                <c:ptCount val="4"/>
                <c:pt idx="0">
                  <c:v>5</c:v>
                </c:pt>
                <c:pt idx="1">
                  <c:v>10</c:v>
                </c:pt>
                <c:pt idx="2">
                  <c:v>20</c:v>
                </c:pt>
                <c:pt idx="3">
                  <c:v>30</c:v>
                </c:pt>
              </c:numCache>
            </c:numRef>
          </c:cat>
          <c:val>
            <c:numRef>
              <c:f>'Khảo sát nồng độ MB'!$U$17:$U$20</c:f>
              <c:numCache>
                <c:formatCode>General</c:formatCode>
                <c:ptCount val="4"/>
                <c:pt idx="0">
                  <c:v>29.018629407850966</c:v>
                </c:pt>
                <c:pt idx="1">
                  <c:v>23.491350632069182</c:v>
                </c:pt>
                <c:pt idx="2">
                  <c:v>22.126580172987371</c:v>
                </c:pt>
                <c:pt idx="3">
                  <c:v>20.25</c:v>
                </c:pt>
              </c:numCache>
            </c:numRef>
          </c:val>
          <c:extLst>
            <c:ext xmlns:c16="http://schemas.microsoft.com/office/drawing/2014/chart" uri="{C3380CC4-5D6E-409C-BE32-E72D297353CC}">
              <c16:uniqueId val="{00000000-0319-4E89-92CE-1FFDAAE63F83}"/>
            </c:ext>
          </c:extLst>
        </c:ser>
        <c:ser>
          <c:idx val="5"/>
          <c:order val="3"/>
          <c:tx>
            <c:strRef>
              <c:f>'Khảo sát nồng độ MB'!$U$28</c:f>
              <c:strCache>
                <c:ptCount val="1"/>
                <c:pt idx="0">
                  <c:v>E, FGP-6</c:v>
                </c:pt>
              </c:strCache>
            </c:strRef>
          </c:tx>
          <c:spPr>
            <a:solidFill>
              <a:srgbClr val="0070C0"/>
            </a:solidFill>
          </c:spPr>
          <c:invertIfNegative val="0"/>
          <c:cat>
            <c:numRef>
              <c:f>'Khảo sát nồng độ MB'!$R$17:$R$20</c:f>
              <c:numCache>
                <c:formatCode>General</c:formatCode>
                <c:ptCount val="4"/>
                <c:pt idx="0">
                  <c:v>5</c:v>
                </c:pt>
                <c:pt idx="1">
                  <c:v>10</c:v>
                </c:pt>
                <c:pt idx="2">
                  <c:v>20</c:v>
                </c:pt>
                <c:pt idx="3">
                  <c:v>30</c:v>
                </c:pt>
              </c:numCache>
            </c:numRef>
          </c:cat>
          <c:val>
            <c:numRef>
              <c:f>'Khảo sát nồng độ MB'!$U$29:$U$32</c:f>
              <c:numCache>
                <c:formatCode>General</c:formatCode>
                <c:ptCount val="4"/>
                <c:pt idx="0">
                  <c:v>27.554890219560875</c:v>
                </c:pt>
                <c:pt idx="1">
                  <c:v>22.809381237524946</c:v>
                </c:pt>
                <c:pt idx="2">
                  <c:v>22.667165668662676</c:v>
                </c:pt>
                <c:pt idx="3">
                  <c:v>20.001666666666662</c:v>
                </c:pt>
              </c:numCache>
            </c:numRef>
          </c:val>
          <c:extLst>
            <c:ext xmlns:c16="http://schemas.microsoft.com/office/drawing/2014/chart" uri="{C3380CC4-5D6E-409C-BE32-E72D297353CC}">
              <c16:uniqueId val="{00000001-0319-4E89-92CE-1FFDAAE63F83}"/>
            </c:ext>
          </c:extLst>
        </c:ser>
        <c:dLbls>
          <c:showLegendKey val="0"/>
          <c:showVal val="0"/>
          <c:showCatName val="0"/>
          <c:showSerName val="0"/>
          <c:showPercent val="0"/>
          <c:showBubbleSize val="0"/>
        </c:dLbls>
        <c:gapWidth val="150"/>
        <c:axId val="130565632"/>
        <c:axId val="130572288"/>
      </c:barChart>
      <c:lineChart>
        <c:grouping val="standard"/>
        <c:varyColors val="0"/>
        <c:ser>
          <c:idx val="1"/>
          <c:order val="0"/>
          <c:tx>
            <c:strRef>
              <c:f>'Khảo sát nồng độ MB'!$T$16</c:f>
              <c:strCache>
                <c:ptCount val="1"/>
                <c:pt idx="0">
                  <c:v>qe, FGP-3</c:v>
                </c:pt>
              </c:strCache>
            </c:strRef>
          </c:tx>
          <c:spPr>
            <a:ln w="12700">
              <a:solidFill>
                <a:schemeClr val="tx1"/>
              </a:solidFill>
            </a:ln>
          </c:spPr>
          <c:marker>
            <c:symbol val="diamond"/>
            <c:size val="3"/>
            <c:spPr>
              <a:solidFill>
                <a:schemeClr val="tx1"/>
              </a:solidFill>
              <a:ln>
                <a:solidFill>
                  <a:schemeClr val="tx1"/>
                </a:solidFill>
              </a:ln>
            </c:spPr>
          </c:marker>
          <c:cat>
            <c:numRef>
              <c:f>'Khảo sát nồng độ MB'!$R$17:$R$20</c:f>
              <c:numCache>
                <c:formatCode>General</c:formatCode>
                <c:ptCount val="4"/>
                <c:pt idx="0">
                  <c:v>5</c:v>
                </c:pt>
                <c:pt idx="1">
                  <c:v>10</c:v>
                </c:pt>
                <c:pt idx="2">
                  <c:v>20</c:v>
                </c:pt>
                <c:pt idx="3">
                  <c:v>30</c:v>
                </c:pt>
              </c:numCache>
            </c:numRef>
          </c:cat>
          <c:val>
            <c:numRef>
              <c:f>'Khảo sát nồng độ MB'!$T$17:$T$20</c:f>
              <c:numCache>
                <c:formatCode>General</c:formatCode>
                <c:ptCount val="4"/>
                <c:pt idx="0">
                  <c:v>7.2546573519627415</c:v>
                </c:pt>
                <c:pt idx="1">
                  <c:v>11.745675316034593</c:v>
                </c:pt>
                <c:pt idx="2">
                  <c:v>22.126580172987371</c:v>
                </c:pt>
                <c:pt idx="3">
                  <c:v>30.374999999999996</c:v>
                </c:pt>
              </c:numCache>
            </c:numRef>
          </c:val>
          <c:smooth val="1"/>
          <c:extLst>
            <c:ext xmlns:c16="http://schemas.microsoft.com/office/drawing/2014/chart" uri="{C3380CC4-5D6E-409C-BE32-E72D297353CC}">
              <c16:uniqueId val="{00000002-0319-4E89-92CE-1FFDAAE63F83}"/>
            </c:ext>
          </c:extLst>
        </c:ser>
        <c:ser>
          <c:idx val="4"/>
          <c:order val="2"/>
          <c:tx>
            <c:strRef>
              <c:f>'Khảo sát nồng độ MB'!$T$28</c:f>
              <c:strCache>
                <c:ptCount val="1"/>
                <c:pt idx="0">
                  <c:v>qe, FGP-6</c:v>
                </c:pt>
              </c:strCache>
            </c:strRef>
          </c:tx>
          <c:spPr>
            <a:ln w="19050">
              <a:solidFill>
                <a:srgbClr val="FF0000"/>
              </a:solidFill>
              <a:prstDash val="dash"/>
            </a:ln>
          </c:spPr>
          <c:marker>
            <c:symbol val="triangle"/>
            <c:size val="3"/>
            <c:spPr>
              <a:solidFill>
                <a:srgbClr val="FF0000"/>
              </a:solidFill>
              <a:ln>
                <a:solidFill>
                  <a:srgbClr val="FF0000"/>
                </a:solidFill>
                <a:prstDash val="dash"/>
              </a:ln>
            </c:spPr>
          </c:marker>
          <c:cat>
            <c:numRef>
              <c:f>'Khảo sát nồng độ MB'!$R$17:$R$20</c:f>
              <c:numCache>
                <c:formatCode>General</c:formatCode>
                <c:ptCount val="4"/>
                <c:pt idx="0">
                  <c:v>5</c:v>
                </c:pt>
                <c:pt idx="1">
                  <c:v>10</c:v>
                </c:pt>
                <c:pt idx="2">
                  <c:v>20</c:v>
                </c:pt>
                <c:pt idx="3">
                  <c:v>30</c:v>
                </c:pt>
              </c:numCache>
            </c:numRef>
          </c:cat>
          <c:val>
            <c:numRef>
              <c:f>'Khảo sát nồng độ MB'!$T$29:$T$32</c:f>
              <c:numCache>
                <c:formatCode>General</c:formatCode>
                <c:ptCount val="4"/>
                <c:pt idx="0">
                  <c:v>6.8887225548902187</c:v>
                </c:pt>
                <c:pt idx="1">
                  <c:v>11.404690618762473</c:v>
                </c:pt>
                <c:pt idx="2">
                  <c:v>22.667165668662676</c:v>
                </c:pt>
                <c:pt idx="3">
                  <c:v>30.002499999999998</c:v>
                </c:pt>
              </c:numCache>
            </c:numRef>
          </c:val>
          <c:smooth val="1"/>
          <c:extLst>
            <c:ext xmlns:c16="http://schemas.microsoft.com/office/drawing/2014/chart" uri="{C3380CC4-5D6E-409C-BE32-E72D297353CC}">
              <c16:uniqueId val="{00000003-0319-4E89-92CE-1FFDAAE63F83}"/>
            </c:ext>
          </c:extLst>
        </c:ser>
        <c:dLbls>
          <c:showLegendKey val="0"/>
          <c:showVal val="0"/>
          <c:showCatName val="0"/>
          <c:showSerName val="0"/>
          <c:showPercent val="0"/>
          <c:showBubbleSize val="0"/>
        </c:dLbls>
        <c:marker val="1"/>
        <c:smooth val="0"/>
        <c:axId val="130596864"/>
        <c:axId val="130574208"/>
      </c:lineChart>
      <c:catAx>
        <c:axId val="130565632"/>
        <c:scaling>
          <c:orientation val="minMax"/>
        </c:scaling>
        <c:delete val="0"/>
        <c:axPos val="b"/>
        <c:title>
          <c:tx>
            <c:rich>
              <a:bodyPr/>
              <a:lstStyle/>
              <a:p>
                <a:pPr>
                  <a:defRPr sz="1050" b="0">
                    <a:latin typeface="Times New Roman" panose="02020603050405020304" pitchFamily="18" charset="0"/>
                    <a:cs typeface="Times New Roman" panose="02020603050405020304" pitchFamily="18" charset="0"/>
                  </a:defRPr>
                </a:pPr>
                <a:r>
                  <a:rPr lang="en-US" sz="1050" b="0">
                    <a:latin typeface="Times New Roman" panose="02020603050405020304" pitchFamily="18" charset="0"/>
                    <a:cs typeface="Times New Roman" panose="02020603050405020304" pitchFamily="18" charset="0"/>
                  </a:rPr>
                  <a:t>C</a:t>
                </a:r>
                <a:r>
                  <a:rPr lang="en-US" sz="1050" b="0" baseline="-25000">
                    <a:latin typeface="Times New Roman" panose="02020603050405020304" pitchFamily="18" charset="0"/>
                    <a:cs typeface="Times New Roman" panose="02020603050405020304" pitchFamily="18" charset="0"/>
                  </a:rPr>
                  <a:t>o</a:t>
                </a:r>
                <a:r>
                  <a:rPr lang="en-US" sz="1050" b="0">
                    <a:latin typeface="Times New Roman" panose="02020603050405020304" pitchFamily="18" charset="0"/>
                    <a:cs typeface="Times New Roman" panose="02020603050405020304" pitchFamily="18" charset="0"/>
                  </a:rPr>
                  <a:t> (ppm)</a:t>
                </a:r>
              </a:p>
            </c:rich>
          </c:tx>
          <c:layout>
            <c:manualLayout>
              <c:xMode val="edge"/>
              <c:yMode val="edge"/>
              <c:x val="0.41510902909288239"/>
              <c:y val="0.76355357327058992"/>
            </c:manualLayout>
          </c:layout>
          <c:overlay val="0"/>
        </c:title>
        <c:numFmt formatCode="General" sourceLinked="1"/>
        <c:majorTickMark val="out"/>
        <c:minorTickMark val="none"/>
        <c:tickLblPos val="nextTo"/>
        <c:crossAx val="130572288"/>
        <c:crosses val="autoZero"/>
        <c:auto val="1"/>
        <c:lblAlgn val="ctr"/>
        <c:lblOffset val="100"/>
        <c:noMultiLvlLbl val="0"/>
      </c:catAx>
      <c:valAx>
        <c:axId val="130572288"/>
        <c:scaling>
          <c:orientation val="minMax"/>
        </c:scaling>
        <c:delete val="0"/>
        <c:axPos val="l"/>
        <c:majorGridlines>
          <c:spPr>
            <a:ln>
              <a:gradFill>
                <a:gsLst>
                  <a:gs pos="0">
                    <a:schemeClr val="accent1">
                      <a:tint val="66000"/>
                      <a:satMod val="160000"/>
                    </a:schemeClr>
                  </a:gs>
                  <a:gs pos="9000">
                    <a:schemeClr val="accent1">
                      <a:tint val="44500"/>
                      <a:satMod val="160000"/>
                    </a:schemeClr>
                  </a:gs>
                  <a:gs pos="100000">
                    <a:schemeClr val="accent1">
                      <a:tint val="23500"/>
                      <a:satMod val="160000"/>
                    </a:schemeClr>
                  </a:gs>
                </a:gsLst>
                <a:lin ang="5400000" scaled="0"/>
              </a:gradFill>
            </a:ln>
          </c:spPr>
        </c:majorGridlines>
        <c:title>
          <c:tx>
            <c:rich>
              <a:bodyPr rot="-5400000" vert="horz"/>
              <a:lstStyle/>
              <a:p>
                <a:pPr>
                  <a:defRPr sz="1000" b="0">
                    <a:latin typeface="Times New Roman" panose="02020603050405020304" pitchFamily="18" charset="0"/>
                    <a:cs typeface="Times New Roman" panose="02020603050405020304" pitchFamily="18" charset="0"/>
                  </a:defRPr>
                </a:pPr>
                <a:r>
                  <a:rPr lang="en-US" sz="1000" b="0">
                    <a:latin typeface="Times New Roman" panose="02020603050405020304" pitchFamily="18" charset="0"/>
                    <a:cs typeface="Times New Roman" panose="02020603050405020304" pitchFamily="18" charset="0"/>
                  </a:rPr>
                  <a:t>Efficiency </a:t>
                </a:r>
                <a:r>
                  <a:rPr lang="en-US" sz="1000" b="0" baseline="0">
                    <a:latin typeface="Times New Roman" panose="02020603050405020304" pitchFamily="18" charset="0"/>
                    <a:cs typeface="Times New Roman" panose="02020603050405020304" pitchFamily="18" charset="0"/>
                  </a:rPr>
                  <a:t>(%)</a:t>
                </a:r>
                <a:endParaRPr lang="en-US" sz="1000" b="0">
                  <a:latin typeface="Times New Roman" panose="02020603050405020304" pitchFamily="18" charset="0"/>
                  <a:cs typeface="Times New Roman" panose="02020603050405020304" pitchFamily="18" charset="0"/>
                </a:endParaRPr>
              </a:p>
            </c:rich>
          </c:tx>
          <c:layout>
            <c:manualLayout>
              <c:xMode val="edge"/>
              <c:yMode val="edge"/>
              <c:x val="4.0940791491972592E-3"/>
              <c:y val="0.14430435119660676"/>
            </c:manualLayout>
          </c:layout>
          <c:overlay val="0"/>
        </c:title>
        <c:numFmt formatCode="General" sourceLinked="1"/>
        <c:majorTickMark val="out"/>
        <c:minorTickMark val="none"/>
        <c:tickLblPos val="nextTo"/>
        <c:crossAx val="130565632"/>
        <c:crosses val="autoZero"/>
        <c:crossBetween val="between"/>
      </c:valAx>
      <c:valAx>
        <c:axId val="130574208"/>
        <c:scaling>
          <c:orientation val="minMax"/>
          <c:max val="40"/>
        </c:scaling>
        <c:delete val="0"/>
        <c:axPos val="r"/>
        <c:title>
          <c:tx>
            <c:rich>
              <a:bodyPr rot="-5400000" vert="horz"/>
              <a:lstStyle/>
              <a:p>
                <a:pPr>
                  <a:defRPr sz="1000" b="0"/>
                </a:pPr>
                <a:r>
                  <a:rPr lang="en-US" sz="1000" b="0"/>
                  <a:t>qe (mg.g</a:t>
                </a:r>
                <a:r>
                  <a:rPr lang="en-US" sz="1000" b="0" baseline="30000"/>
                  <a:t>-1</a:t>
                </a:r>
                <a:r>
                  <a:rPr lang="en-US" sz="1000" b="0"/>
                  <a:t>)</a:t>
                </a:r>
              </a:p>
            </c:rich>
          </c:tx>
          <c:overlay val="0"/>
        </c:title>
        <c:numFmt formatCode="General" sourceLinked="1"/>
        <c:majorTickMark val="out"/>
        <c:minorTickMark val="none"/>
        <c:tickLblPos val="nextTo"/>
        <c:crossAx val="130596864"/>
        <c:crosses val="max"/>
        <c:crossBetween val="between"/>
      </c:valAx>
      <c:catAx>
        <c:axId val="130596864"/>
        <c:scaling>
          <c:orientation val="minMax"/>
        </c:scaling>
        <c:delete val="1"/>
        <c:axPos val="b"/>
        <c:numFmt formatCode="General" sourceLinked="1"/>
        <c:majorTickMark val="out"/>
        <c:minorTickMark val="none"/>
        <c:tickLblPos val="nextTo"/>
        <c:crossAx val="130574208"/>
        <c:crosses val="autoZero"/>
        <c:auto val="1"/>
        <c:lblAlgn val="ctr"/>
        <c:lblOffset val="100"/>
        <c:noMultiLvlLbl val="0"/>
      </c:catAx>
      <c:spPr>
        <a:noFill/>
      </c:spPr>
    </c:plotArea>
    <c:legend>
      <c:legendPos val="b"/>
      <c:layout>
        <c:manualLayout>
          <c:xMode val="edge"/>
          <c:yMode val="edge"/>
          <c:x val="4.3458643712054386E-2"/>
          <c:y val="0.83514520362374056"/>
          <c:w val="0.89999987123441128"/>
          <c:h val="0.14936230832987982"/>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15594925634296"/>
          <c:y val="4.2675829904823541E-2"/>
          <c:w val="0.6713072236197638"/>
          <c:h val="0.63912805291861885"/>
        </c:manualLayout>
      </c:layout>
      <c:barChart>
        <c:barDir val="col"/>
        <c:grouping val="clustered"/>
        <c:varyColors val="0"/>
        <c:ser>
          <c:idx val="1"/>
          <c:order val="1"/>
          <c:tx>
            <c:strRef>
              <c:f>'Khảo sát thời gian'!$M$6</c:f>
              <c:strCache>
                <c:ptCount val="1"/>
                <c:pt idx="0">
                  <c:v>E, FGP-3</c:v>
                </c:pt>
              </c:strCache>
            </c:strRef>
          </c:tx>
          <c:spPr>
            <a:noFill/>
            <a:ln w="19050">
              <a:solidFill>
                <a:schemeClr val="accent1"/>
              </a:solidFill>
            </a:ln>
          </c:spPr>
          <c:invertIfNegative val="0"/>
          <c:cat>
            <c:numRef>
              <c:f>'Khảo sát thời gian'!$D$7:$D$15</c:f>
              <c:numCache>
                <c:formatCode>General</c:formatCode>
                <c:ptCount val="9"/>
                <c:pt idx="0">
                  <c:v>1</c:v>
                </c:pt>
                <c:pt idx="1">
                  <c:v>3</c:v>
                </c:pt>
                <c:pt idx="2">
                  <c:v>6</c:v>
                </c:pt>
                <c:pt idx="3">
                  <c:v>9</c:v>
                </c:pt>
                <c:pt idx="4">
                  <c:v>12</c:v>
                </c:pt>
                <c:pt idx="5">
                  <c:v>15</c:v>
                </c:pt>
                <c:pt idx="6">
                  <c:v>18</c:v>
                </c:pt>
                <c:pt idx="7">
                  <c:v>21</c:v>
                </c:pt>
                <c:pt idx="8">
                  <c:v>24</c:v>
                </c:pt>
              </c:numCache>
            </c:numRef>
          </c:cat>
          <c:val>
            <c:numRef>
              <c:f>'Khảo sát thời gian'!$M$7:$M$15</c:f>
              <c:numCache>
                <c:formatCode>#,##0.000</c:formatCode>
                <c:ptCount val="9"/>
                <c:pt idx="0">
                  <c:v>29.02</c:v>
                </c:pt>
                <c:pt idx="1">
                  <c:v>40.33</c:v>
                </c:pt>
                <c:pt idx="2">
                  <c:v>54.5</c:v>
                </c:pt>
                <c:pt idx="3">
                  <c:v>67.87</c:v>
                </c:pt>
                <c:pt idx="4">
                  <c:v>74.06</c:v>
                </c:pt>
                <c:pt idx="5">
                  <c:v>73.260000000000005</c:v>
                </c:pt>
                <c:pt idx="6">
                  <c:v>72.27</c:v>
                </c:pt>
                <c:pt idx="7">
                  <c:v>72.37</c:v>
                </c:pt>
                <c:pt idx="8">
                  <c:v>71.67</c:v>
                </c:pt>
              </c:numCache>
            </c:numRef>
          </c:val>
          <c:extLst>
            <c:ext xmlns:c16="http://schemas.microsoft.com/office/drawing/2014/chart" uri="{C3380CC4-5D6E-409C-BE32-E72D297353CC}">
              <c16:uniqueId val="{00000000-9528-40ED-950E-3AF97FA95C0D}"/>
            </c:ext>
          </c:extLst>
        </c:ser>
        <c:ser>
          <c:idx val="3"/>
          <c:order val="3"/>
          <c:tx>
            <c:strRef>
              <c:f>'Khảo sát thời gian'!$M$20</c:f>
              <c:strCache>
                <c:ptCount val="1"/>
                <c:pt idx="0">
                  <c:v>E, FGP-6</c:v>
                </c:pt>
              </c:strCache>
            </c:strRef>
          </c:tx>
          <c:spPr>
            <a:solidFill>
              <a:srgbClr val="0070C0"/>
            </a:solidFill>
            <a:ln w="12700"/>
          </c:spPr>
          <c:invertIfNegative val="0"/>
          <c:val>
            <c:numRef>
              <c:f>'Khảo sát thời gian'!$M$21:$M$29</c:f>
              <c:numCache>
                <c:formatCode>#,##0.000</c:formatCode>
                <c:ptCount val="9"/>
                <c:pt idx="0">
                  <c:v>27.55</c:v>
                </c:pt>
                <c:pt idx="1">
                  <c:v>33.74</c:v>
                </c:pt>
                <c:pt idx="2">
                  <c:v>48.91</c:v>
                </c:pt>
                <c:pt idx="3">
                  <c:v>56.5</c:v>
                </c:pt>
                <c:pt idx="4">
                  <c:v>69.77</c:v>
                </c:pt>
                <c:pt idx="5">
                  <c:v>68.77</c:v>
                </c:pt>
                <c:pt idx="6">
                  <c:v>67.180000000000007</c:v>
                </c:pt>
                <c:pt idx="7">
                  <c:v>66.08</c:v>
                </c:pt>
                <c:pt idx="8">
                  <c:v>64.680000000000007</c:v>
                </c:pt>
              </c:numCache>
            </c:numRef>
          </c:val>
          <c:extLst>
            <c:ext xmlns:c16="http://schemas.microsoft.com/office/drawing/2014/chart" uri="{C3380CC4-5D6E-409C-BE32-E72D297353CC}">
              <c16:uniqueId val="{00000001-9528-40ED-950E-3AF97FA95C0D}"/>
            </c:ext>
          </c:extLst>
        </c:ser>
        <c:dLbls>
          <c:showLegendKey val="0"/>
          <c:showVal val="0"/>
          <c:showCatName val="0"/>
          <c:showSerName val="0"/>
          <c:showPercent val="0"/>
          <c:showBubbleSize val="0"/>
        </c:dLbls>
        <c:gapWidth val="150"/>
        <c:axId val="131259392"/>
        <c:axId val="131261952"/>
      </c:barChart>
      <c:lineChart>
        <c:grouping val="standard"/>
        <c:varyColors val="0"/>
        <c:ser>
          <c:idx val="0"/>
          <c:order val="0"/>
          <c:tx>
            <c:strRef>
              <c:f>'Khảo sát thời gian'!$L$6</c:f>
              <c:strCache>
                <c:ptCount val="1"/>
                <c:pt idx="0">
                  <c:v>qe, FGP-3</c:v>
                </c:pt>
              </c:strCache>
            </c:strRef>
          </c:tx>
          <c:spPr>
            <a:ln w="12700">
              <a:solidFill>
                <a:schemeClr val="tx1"/>
              </a:solidFill>
            </a:ln>
          </c:spPr>
          <c:marker>
            <c:symbol val="diamond"/>
            <c:size val="3"/>
            <c:spPr>
              <a:solidFill>
                <a:schemeClr val="tx1"/>
              </a:solidFill>
            </c:spPr>
          </c:marker>
          <c:cat>
            <c:numRef>
              <c:f>'Khảo sát thời gian'!$D$7:$D$15</c:f>
              <c:numCache>
                <c:formatCode>General</c:formatCode>
                <c:ptCount val="9"/>
                <c:pt idx="0">
                  <c:v>1</c:v>
                </c:pt>
                <c:pt idx="1">
                  <c:v>3</c:v>
                </c:pt>
                <c:pt idx="2">
                  <c:v>6</c:v>
                </c:pt>
                <c:pt idx="3">
                  <c:v>9</c:v>
                </c:pt>
                <c:pt idx="4">
                  <c:v>12</c:v>
                </c:pt>
                <c:pt idx="5">
                  <c:v>15</c:v>
                </c:pt>
                <c:pt idx="6">
                  <c:v>18</c:v>
                </c:pt>
                <c:pt idx="7">
                  <c:v>21</c:v>
                </c:pt>
                <c:pt idx="8">
                  <c:v>24</c:v>
                </c:pt>
              </c:numCache>
            </c:numRef>
          </c:cat>
          <c:val>
            <c:numRef>
              <c:f>'Khảo sát thời gian'!$L$7:$L$15</c:f>
              <c:numCache>
                <c:formatCode>#,##0.000</c:formatCode>
                <c:ptCount val="9"/>
                <c:pt idx="0">
                  <c:v>7.2549999999999999</c:v>
                </c:pt>
                <c:pt idx="1">
                  <c:v>10.082000000000001</c:v>
                </c:pt>
                <c:pt idx="2">
                  <c:v>13.625</c:v>
                </c:pt>
                <c:pt idx="3">
                  <c:v>16.969000000000001</c:v>
                </c:pt>
                <c:pt idx="4">
                  <c:v>18.515000000000001</c:v>
                </c:pt>
                <c:pt idx="5">
                  <c:v>18.315999999999999</c:v>
                </c:pt>
                <c:pt idx="6">
                  <c:v>18.065999999999999</c:v>
                </c:pt>
                <c:pt idx="7">
                  <c:v>18.091000000000001</c:v>
                </c:pt>
                <c:pt idx="8">
                  <c:v>17.917000000000002</c:v>
                </c:pt>
              </c:numCache>
            </c:numRef>
          </c:val>
          <c:smooth val="0"/>
          <c:extLst>
            <c:ext xmlns:c16="http://schemas.microsoft.com/office/drawing/2014/chart" uri="{C3380CC4-5D6E-409C-BE32-E72D297353CC}">
              <c16:uniqueId val="{00000002-9528-40ED-950E-3AF97FA95C0D}"/>
            </c:ext>
          </c:extLst>
        </c:ser>
        <c:ser>
          <c:idx val="2"/>
          <c:order val="2"/>
          <c:tx>
            <c:strRef>
              <c:f>'Khảo sát thời gian'!$L$20</c:f>
              <c:strCache>
                <c:ptCount val="1"/>
                <c:pt idx="0">
                  <c:v>qe, FGP-6</c:v>
                </c:pt>
              </c:strCache>
            </c:strRef>
          </c:tx>
          <c:spPr>
            <a:ln w="12700">
              <a:solidFill>
                <a:srgbClr val="FF0000"/>
              </a:solidFill>
              <a:prstDash val="dash"/>
            </a:ln>
          </c:spPr>
          <c:marker>
            <c:symbol val="triangle"/>
            <c:size val="3"/>
            <c:spPr>
              <a:solidFill>
                <a:srgbClr val="FF0000"/>
              </a:solidFill>
              <a:ln>
                <a:prstDash val="dash"/>
              </a:ln>
            </c:spPr>
          </c:marker>
          <c:val>
            <c:numRef>
              <c:f>'Khảo sát thời gian'!$L$21:$L$29</c:f>
              <c:numCache>
                <c:formatCode>#,##0.000</c:formatCode>
                <c:ptCount val="9"/>
                <c:pt idx="0">
                  <c:v>6.8890000000000002</c:v>
                </c:pt>
                <c:pt idx="1">
                  <c:v>8.4359999999999999</c:v>
                </c:pt>
                <c:pt idx="2">
                  <c:v>12.228</c:v>
                </c:pt>
                <c:pt idx="3">
                  <c:v>14.124000000000001</c:v>
                </c:pt>
                <c:pt idx="4">
                  <c:v>17.443000000000001</c:v>
                </c:pt>
                <c:pt idx="5">
                  <c:v>17.193000000000001</c:v>
                </c:pt>
                <c:pt idx="6">
                  <c:v>16.794</c:v>
                </c:pt>
                <c:pt idx="7">
                  <c:v>16.518999999999998</c:v>
                </c:pt>
                <c:pt idx="8">
                  <c:v>16.170000000000002</c:v>
                </c:pt>
              </c:numCache>
            </c:numRef>
          </c:val>
          <c:smooth val="0"/>
          <c:extLst>
            <c:ext xmlns:c16="http://schemas.microsoft.com/office/drawing/2014/chart" uri="{C3380CC4-5D6E-409C-BE32-E72D297353CC}">
              <c16:uniqueId val="{00000003-9528-40ED-950E-3AF97FA95C0D}"/>
            </c:ext>
          </c:extLst>
        </c:ser>
        <c:dLbls>
          <c:showLegendKey val="0"/>
          <c:showVal val="0"/>
          <c:showCatName val="0"/>
          <c:showSerName val="0"/>
          <c:showPercent val="0"/>
          <c:showBubbleSize val="0"/>
        </c:dLbls>
        <c:marker val="1"/>
        <c:smooth val="0"/>
        <c:axId val="131356160"/>
        <c:axId val="131263872"/>
      </c:lineChart>
      <c:catAx>
        <c:axId val="131259392"/>
        <c:scaling>
          <c:orientation val="minMax"/>
        </c:scaling>
        <c:delete val="0"/>
        <c:axPos val="b"/>
        <c:title>
          <c:tx>
            <c:rich>
              <a:bodyPr/>
              <a:lstStyle/>
              <a:p>
                <a:pPr>
                  <a:defRPr b="0"/>
                </a:pPr>
                <a:r>
                  <a:rPr lang="en-US" b="0"/>
                  <a:t>Time (h)</a:t>
                </a:r>
              </a:p>
            </c:rich>
          </c:tx>
          <c:layout>
            <c:manualLayout>
              <c:xMode val="edge"/>
              <c:yMode val="edge"/>
              <c:x val="0.43029973523882187"/>
              <c:y val="0.77425144728440642"/>
            </c:manualLayout>
          </c:layout>
          <c:overlay val="0"/>
        </c:title>
        <c:numFmt formatCode="General" sourceLinked="0"/>
        <c:majorTickMark val="out"/>
        <c:minorTickMark val="none"/>
        <c:tickLblPos val="nextTo"/>
        <c:crossAx val="131261952"/>
        <c:crosses val="autoZero"/>
        <c:auto val="1"/>
        <c:lblAlgn val="ctr"/>
        <c:lblOffset val="100"/>
        <c:noMultiLvlLbl val="0"/>
      </c:catAx>
      <c:valAx>
        <c:axId val="131261952"/>
        <c:scaling>
          <c:orientation val="minMax"/>
        </c:scaling>
        <c:delete val="0"/>
        <c:axPos val="l"/>
        <c:majorGridlines>
          <c:spPr>
            <a:ln>
              <a:gradFill>
                <a:gsLst>
                  <a:gs pos="0">
                    <a:schemeClr val="accent1">
                      <a:tint val="66000"/>
                      <a:satMod val="160000"/>
                    </a:schemeClr>
                  </a:gs>
                  <a:gs pos="38000">
                    <a:schemeClr val="accent1">
                      <a:tint val="44500"/>
                      <a:satMod val="160000"/>
                    </a:schemeClr>
                  </a:gs>
                  <a:gs pos="100000">
                    <a:schemeClr val="accent1">
                      <a:tint val="23500"/>
                      <a:satMod val="160000"/>
                    </a:schemeClr>
                  </a:gs>
                </a:gsLst>
                <a:lin ang="5400000" scaled="0"/>
              </a:gradFill>
            </a:ln>
          </c:spPr>
        </c:majorGridlines>
        <c:title>
          <c:tx>
            <c:rich>
              <a:bodyPr rot="-5400000" vert="horz"/>
              <a:lstStyle/>
              <a:p>
                <a:pPr>
                  <a:defRPr sz="1000" b="0"/>
                </a:pPr>
                <a:r>
                  <a:rPr lang="en-US" sz="1000" b="0"/>
                  <a:t>Efficiency (%)</a:t>
                </a:r>
              </a:p>
            </c:rich>
          </c:tx>
          <c:layout>
            <c:manualLayout>
              <c:xMode val="edge"/>
              <c:yMode val="edge"/>
              <c:x val="3.7596617484196787E-3"/>
              <c:y val="0.12175316091719064"/>
            </c:manualLayout>
          </c:layout>
          <c:overlay val="0"/>
        </c:title>
        <c:numFmt formatCode="General" sourceLinked="0"/>
        <c:majorTickMark val="out"/>
        <c:minorTickMark val="none"/>
        <c:tickLblPos val="nextTo"/>
        <c:crossAx val="131259392"/>
        <c:crosses val="autoZero"/>
        <c:crossBetween val="between"/>
      </c:valAx>
      <c:valAx>
        <c:axId val="131263872"/>
        <c:scaling>
          <c:orientation val="minMax"/>
          <c:max val="30"/>
        </c:scaling>
        <c:delete val="0"/>
        <c:axPos val="r"/>
        <c:title>
          <c:tx>
            <c:rich>
              <a:bodyPr rot="-5400000" vert="horz"/>
              <a:lstStyle/>
              <a:p>
                <a:pPr>
                  <a:defRPr sz="1000" b="0"/>
                </a:pPr>
                <a:r>
                  <a:rPr lang="en-US" sz="1000" b="0"/>
                  <a:t>qe (mg.g</a:t>
                </a:r>
                <a:r>
                  <a:rPr lang="en-US" sz="1000" b="0" baseline="30000"/>
                  <a:t>-1</a:t>
                </a:r>
                <a:r>
                  <a:rPr lang="en-US" sz="1000" b="0"/>
                  <a:t>)</a:t>
                </a:r>
              </a:p>
            </c:rich>
          </c:tx>
          <c:layout>
            <c:manualLayout>
              <c:xMode val="edge"/>
              <c:yMode val="edge"/>
              <c:x val="0.92811829239208199"/>
              <c:y val="0.24118680370433149"/>
            </c:manualLayout>
          </c:layout>
          <c:overlay val="0"/>
        </c:title>
        <c:numFmt formatCode="General" sourceLinked="0"/>
        <c:majorTickMark val="out"/>
        <c:minorTickMark val="none"/>
        <c:tickLblPos val="nextTo"/>
        <c:crossAx val="131356160"/>
        <c:crosses val="max"/>
        <c:crossBetween val="between"/>
        <c:majorUnit val="10"/>
      </c:valAx>
      <c:catAx>
        <c:axId val="131356160"/>
        <c:scaling>
          <c:orientation val="minMax"/>
        </c:scaling>
        <c:delete val="1"/>
        <c:axPos val="b"/>
        <c:numFmt formatCode="General" sourceLinked="1"/>
        <c:majorTickMark val="out"/>
        <c:minorTickMark val="none"/>
        <c:tickLblPos val="nextTo"/>
        <c:crossAx val="131263872"/>
        <c:crosses val="autoZero"/>
        <c:auto val="1"/>
        <c:lblAlgn val="ctr"/>
        <c:lblOffset val="100"/>
        <c:noMultiLvlLbl val="0"/>
      </c:catAx>
    </c:plotArea>
    <c:legend>
      <c:legendPos val="b"/>
      <c:layout>
        <c:manualLayout>
          <c:xMode val="edge"/>
          <c:yMode val="edge"/>
          <c:x val="4.7617434722544649E-2"/>
          <c:y val="0.84625278004632976"/>
          <c:w val="0.88126220206041184"/>
          <c:h val="0.15374721995367016"/>
        </c:manualLayout>
      </c:layout>
      <c:overlay val="0"/>
      <c:txPr>
        <a:bodyPr/>
        <a:lstStyle/>
        <a:p>
          <a:pPr>
            <a:defRPr sz="1000"/>
          </a:pPr>
          <a:endParaRPr lang="en-US"/>
        </a:p>
      </c:txPr>
    </c:legend>
    <c:plotVisOnly val="1"/>
    <c:dispBlanksAs val="gap"/>
    <c:showDLblsOverMax val="0"/>
  </c:chart>
  <c:spPr>
    <a:ln>
      <a:noFill/>
    </a:ln>
  </c:spPr>
  <c:txPr>
    <a:bodyPr/>
    <a:lstStyle/>
    <a:p>
      <a:pPr>
        <a:defRPr sz="105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234542153956225"/>
          <c:y val="6.8159813356663754E-2"/>
          <c:w val="0.67107926153986686"/>
          <c:h val="0.67818029496554011"/>
        </c:manualLayout>
      </c:layout>
      <c:barChart>
        <c:barDir val="col"/>
        <c:grouping val="clustered"/>
        <c:varyColors val="0"/>
        <c:ser>
          <c:idx val="1"/>
          <c:order val="0"/>
          <c:tx>
            <c:strRef>
              <c:f>'Khảo sát khối lượng'!$L$5</c:f>
              <c:strCache>
                <c:ptCount val="1"/>
                <c:pt idx="0">
                  <c:v>E%</c:v>
                </c:pt>
              </c:strCache>
            </c:strRef>
          </c:tx>
          <c:spPr>
            <a:solidFill>
              <a:schemeClr val="accent1"/>
            </a:solidFill>
            <a:ln>
              <a:solidFill>
                <a:schemeClr val="accent1"/>
              </a:solidFill>
            </a:ln>
          </c:spPr>
          <c:invertIfNegative val="0"/>
          <c:cat>
            <c:numRef>
              <c:f>'Khảo sát khối lượng'!$C$6:$C$11</c:f>
              <c:numCache>
                <c:formatCode>General</c:formatCode>
                <c:ptCount val="6"/>
                <c:pt idx="0">
                  <c:v>5</c:v>
                </c:pt>
                <c:pt idx="1">
                  <c:v>10</c:v>
                </c:pt>
                <c:pt idx="2">
                  <c:v>15</c:v>
                </c:pt>
                <c:pt idx="3">
                  <c:v>30</c:v>
                </c:pt>
                <c:pt idx="4">
                  <c:v>40</c:v>
                </c:pt>
                <c:pt idx="5">
                  <c:v>50</c:v>
                </c:pt>
              </c:numCache>
            </c:numRef>
          </c:cat>
          <c:val>
            <c:numRef>
              <c:f>'Khảo sát khối lượng'!$L$6:$L$11</c:f>
              <c:numCache>
                <c:formatCode>General</c:formatCode>
                <c:ptCount val="6"/>
                <c:pt idx="0">
                  <c:v>54.30139720558882</c:v>
                </c:pt>
                <c:pt idx="1">
                  <c:v>74.06</c:v>
                </c:pt>
                <c:pt idx="2">
                  <c:v>77.754491017964085</c:v>
                </c:pt>
                <c:pt idx="3">
                  <c:v>89.131736526946099</c:v>
                </c:pt>
                <c:pt idx="4">
                  <c:v>89.63073852295409</c:v>
                </c:pt>
                <c:pt idx="5">
                  <c:v>91.82634730538922</c:v>
                </c:pt>
              </c:numCache>
            </c:numRef>
          </c:val>
          <c:extLst>
            <c:ext xmlns:c16="http://schemas.microsoft.com/office/drawing/2014/chart" uri="{C3380CC4-5D6E-409C-BE32-E72D297353CC}">
              <c16:uniqueId val="{00000000-0B43-4295-AFD1-BCCFF1301029}"/>
            </c:ext>
          </c:extLst>
        </c:ser>
        <c:dLbls>
          <c:showLegendKey val="0"/>
          <c:showVal val="0"/>
          <c:showCatName val="0"/>
          <c:showSerName val="0"/>
          <c:showPercent val="0"/>
          <c:showBubbleSize val="0"/>
        </c:dLbls>
        <c:gapWidth val="150"/>
        <c:axId val="130361216"/>
        <c:axId val="130363776"/>
      </c:barChart>
      <c:lineChart>
        <c:grouping val="standard"/>
        <c:varyColors val="0"/>
        <c:ser>
          <c:idx val="2"/>
          <c:order val="1"/>
          <c:tx>
            <c:strRef>
              <c:f>'Khảo sát khối lượng'!$N$5</c:f>
              <c:strCache>
                <c:ptCount val="1"/>
                <c:pt idx="0">
                  <c:v>qe</c:v>
                </c:pt>
              </c:strCache>
            </c:strRef>
          </c:tx>
          <c:spPr>
            <a:ln w="12700">
              <a:solidFill>
                <a:schemeClr val="tx1"/>
              </a:solidFill>
            </a:ln>
          </c:spPr>
          <c:marker>
            <c:symbol val="triangle"/>
            <c:size val="4"/>
            <c:spPr>
              <a:solidFill>
                <a:schemeClr val="tx1"/>
              </a:solidFill>
            </c:spPr>
          </c:marker>
          <c:val>
            <c:numRef>
              <c:f>'Khảo sát khối lượng'!$N$6:$N$11</c:f>
              <c:numCache>
                <c:formatCode>General</c:formatCode>
                <c:ptCount val="6"/>
                <c:pt idx="0">
                  <c:v>27.15069860279441</c:v>
                </c:pt>
                <c:pt idx="1">
                  <c:v>18.515000000000004</c:v>
                </c:pt>
                <c:pt idx="2">
                  <c:v>12.959081836327346</c:v>
                </c:pt>
                <c:pt idx="3">
                  <c:v>7.4276447105788419</c:v>
                </c:pt>
                <c:pt idx="4">
                  <c:v>5.6019211576846306</c:v>
                </c:pt>
                <c:pt idx="5">
                  <c:v>4.591317365269461</c:v>
                </c:pt>
              </c:numCache>
            </c:numRef>
          </c:val>
          <c:smooth val="0"/>
          <c:extLst>
            <c:ext xmlns:c16="http://schemas.microsoft.com/office/drawing/2014/chart" uri="{C3380CC4-5D6E-409C-BE32-E72D297353CC}">
              <c16:uniqueId val="{00000001-0B43-4295-AFD1-BCCFF1301029}"/>
            </c:ext>
          </c:extLst>
        </c:ser>
        <c:dLbls>
          <c:showLegendKey val="0"/>
          <c:showVal val="0"/>
          <c:showCatName val="0"/>
          <c:showSerName val="0"/>
          <c:showPercent val="0"/>
          <c:showBubbleSize val="0"/>
        </c:dLbls>
        <c:marker val="1"/>
        <c:smooth val="0"/>
        <c:axId val="130371968"/>
        <c:axId val="130365696"/>
      </c:lineChart>
      <c:catAx>
        <c:axId val="130361216"/>
        <c:scaling>
          <c:orientation val="minMax"/>
        </c:scaling>
        <c:delete val="0"/>
        <c:axPos val="b"/>
        <c:title>
          <c:tx>
            <c:rich>
              <a:bodyPr/>
              <a:lstStyle/>
              <a:p>
                <a:pPr>
                  <a:defRPr/>
                </a:pPr>
                <a:r>
                  <a:rPr lang="en-US"/>
                  <a:t>Adsorbent content (mg)</a:t>
                </a:r>
              </a:p>
            </c:rich>
          </c:tx>
          <c:layout>
            <c:manualLayout>
              <c:xMode val="edge"/>
              <c:yMode val="edge"/>
              <c:x val="0.25938697609633016"/>
              <c:y val="0.84861236607719126"/>
            </c:manualLayout>
          </c:layout>
          <c:overlay val="0"/>
        </c:title>
        <c:numFmt formatCode="General" sourceLinked="1"/>
        <c:majorTickMark val="out"/>
        <c:minorTickMark val="none"/>
        <c:tickLblPos val="nextTo"/>
        <c:crossAx val="130363776"/>
        <c:crosses val="autoZero"/>
        <c:auto val="1"/>
        <c:lblAlgn val="ctr"/>
        <c:lblOffset val="100"/>
        <c:noMultiLvlLbl val="0"/>
      </c:catAx>
      <c:valAx>
        <c:axId val="130363776"/>
        <c:scaling>
          <c:orientation val="minMax"/>
        </c:scaling>
        <c:delete val="0"/>
        <c:axPos val="l"/>
        <c:majorGridlines>
          <c:spPr>
            <a:ln>
              <a:gradFill>
                <a:gsLst>
                  <a:gs pos="0">
                    <a:schemeClr val="accent1">
                      <a:tint val="66000"/>
                      <a:satMod val="160000"/>
                    </a:schemeClr>
                  </a:gs>
                  <a:gs pos="12000">
                    <a:schemeClr val="accent1">
                      <a:tint val="44500"/>
                      <a:satMod val="160000"/>
                    </a:schemeClr>
                  </a:gs>
                  <a:gs pos="100000">
                    <a:schemeClr val="accent1">
                      <a:tint val="23500"/>
                      <a:satMod val="160000"/>
                    </a:schemeClr>
                  </a:gs>
                </a:gsLst>
                <a:lin ang="5400000" scaled="0"/>
              </a:gradFill>
            </a:ln>
          </c:spPr>
        </c:majorGridlines>
        <c:title>
          <c:tx>
            <c:rich>
              <a:bodyPr rot="-5400000" vert="horz"/>
              <a:lstStyle/>
              <a:p>
                <a:pPr>
                  <a:defRPr b="0"/>
                </a:pPr>
                <a:r>
                  <a:rPr lang="en-US" b="0"/>
                  <a:t> Efficiency (%)</a:t>
                </a:r>
              </a:p>
            </c:rich>
          </c:tx>
          <c:layout>
            <c:manualLayout>
              <c:xMode val="edge"/>
              <c:yMode val="edge"/>
              <c:x val="2.6227124359946164E-3"/>
              <c:y val="0.23505297948867507"/>
            </c:manualLayout>
          </c:layout>
          <c:overlay val="0"/>
        </c:title>
        <c:numFmt formatCode="General" sourceLinked="1"/>
        <c:majorTickMark val="out"/>
        <c:minorTickMark val="none"/>
        <c:tickLblPos val="nextTo"/>
        <c:crossAx val="130361216"/>
        <c:crosses val="autoZero"/>
        <c:crossBetween val="between"/>
      </c:valAx>
      <c:valAx>
        <c:axId val="130365696"/>
        <c:scaling>
          <c:orientation val="minMax"/>
          <c:max val="50"/>
        </c:scaling>
        <c:delete val="0"/>
        <c:axPos val="r"/>
        <c:title>
          <c:tx>
            <c:rich>
              <a:bodyPr rot="-5400000" vert="horz"/>
              <a:lstStyle/>
              <a:p>
                <a:pPr>
                  <a:defRPr b="0"/>
                </a:pPr>
                <a:r>
                  <a:rPr lang="en-US" b="0"/>
                  <a:t>qe (mg.g</a:t>
                </a:r>
                <a:r>
                  <a:rPr lang="en-US" b="0" baseline="30000"/>
                  <a:t>-1</a:t>
                </a:r>
                <a:r>
                  <a:rPr lang="en-US" b="0"/>
                  <a:t>)</a:t>
                </a:r>
              </a:p>
            </c:rich>
          </c:tx>
          <c:layout>
            <c:manualLayout>
              <c:xMode val="edge"/>
              <c:yMode val="edge"/>
              <c:x val="0.92979348111937876"/>
              <c:y val="0.25494264605813161"/>
            </c:manualLayout>
          </c:layout>
          <c:overlay val="0"/>
        </c:title>
        <c:numFmt formatCode="General" sourceLinked="1"/>
        <c:majorTickMark val="out"/>
        <c:minorTickMark val="none"/>
        <c:tickLblPos val="nextTo"/>
        <c:crossAx val="130371968"/>
        <c:crosses val="max"/>
        <c:crossBetween val="between"/>
        <c:majorUnit val="10"/>
      </c:valAx>
      <c:catAx>
        <c:axId val="130371968"/>
        <c:scaling>
          <c:orientation val="minMax"/>
        </c:scaling>
        <c:delete val="1"/>
        <c:axPos val="b"/>
        <c:majorTickMark val="out"/>
        <c:minorTickMark val="none"/>
        <c:tickLblPos val="nextTo"/>
        <c:crossAx val="130365696"/>
        <c:crosses val="autoZero"/>
        <c:auto val="1"/>
        <c:lblAlgn val="ctr"/>
        <c:lblOffset val="100"/>
        <c:noMultiLvlLbl val="0"/>
      </c:catAx>
      <c:spPr>
        <a:ln w="12700">
          <a:solidFill>
            <a:srgbClr val="0070C0"/>
          </a:solidFill>
        </a:ln>
      </c:spPr>
    </c:plotArea>
    <c:legend>
      <c:legendPos val="b"/>
      <c:layout>
        <c:manualLayout>
          <c:xMode val="edge"/>
          <c:yMode val="edge"/>
          <c:x val="0.28698879466989702"/>
          <c:y val="0.9307167166764001"/>
          <c:w val="0.51226123921556699"/>
          <c:h val="6.9283283323599898E-2"/>
        </c:manualLayout>
      </c:layout>
      <c:overlay val="0"/>
    </c:legend>
    <c:plotVisOnly val="1"/>
    <c:dispBlanksAs val="gap"/>
    <c:showDLblsOverMax val="0"/>
  </c:chart>
  <c:spPr>
    <a:ln>
      <a:no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73978325454226"/>
          <c:y val="7.8110274051651191E-2"/>
          <c:w val="0.73849599425678003"/>
          <c:h val="0.70108686217372451"/>
        </c:manualLayout>
      </c:layout>
      <c:scatterChart>
        <c:scatterStyle val="lineMarker"/>
        <c:varyColors val="0"/>
        <c:ser>
          <c:idx val="0"/>
          <c:order val="0"/>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tx1"/>
                </a:solidFill>
                <a:prstDash val="sysDot"/>
              </a:ln>
              <a:effectLst/>
            </c:spPr>
            <c:trendlineType val="linear"/>
            <c:dispRSqr val="1"/>
            <c:dispEq val="1"/>
            <c:trendlineLbl>
              <c:layout>
                <c:manualLayout>
                  <c:x val="0.10775518277606604"/>
                  <c:y val="0.19368228751141789"/>
                </c:manualLayout>
              </c:layout>
              <c:numFmt formatCode="General" sourceLinked="0"/>
              <c:spPr>
                <a:noFill/>
                <a:ln>
                  <a:noFill/>
                </a:ln>
                <a:effectLst/>
              </c:spPr>
              <c:txPr>
                <a:bodyPr rot="0" vert="horz"/>
                <a:lstStyle/>
                <a:p>
                  <a:pPr>
                    <a:defRPr/>
                  </a:pPr>
                  <a:endParaRPr lang="en-US"/>
                </a:p>
              </c:txPr>
            </c:trendlineLbl>
          </c:trendline>
          <c:xVal>
            <c:numRef>
              <c:f>'PT đẳng nhiệt Langmuir'!$B$3:$B$6</c:f>
              <c:numCache>
                <c:formatCode>General</c:formatCode>
                <c:ptCount val="4"/>
                <c:pt idx="0">
                  <c:v>3.5489999999999999</c:v>
                </c:pt>
                <c:pt idx="1">
                  <c:v>7.6509999999999998</c:v>
                </c:pt>
                <c:pt idx="2">
                  <c:v>15.574999999999999</c:v>
                </c:pt>
                <c:pt idx="3">
                  <c:v>23.925000000000001</c:v>
                </c:pt>
              </c:numCache>
            </c:numRef>
          </c:xVal>
          <c:yVal>
            <c:numRef>
              <c:f>'PT đẳng nhiệt Langmuir'!$D$3:$D$6</c:f>
              <c:numCache>
                <c:formatCode>0.000</c:formatCode>
                <c:ptCount val="4"/>
                <c:pt idx="0">
                  <c:v>0.4891798759476223</c:v>
                </c:pt>
                <c:pt idx="1">
                  <c:v>0.65137067938021453</c:v>
                </c:pt>
                <c:pt idx="2">
                  <c:v>0.70389117367921539</c:v>
                </c:pt>
                <c:pt idx="3">
                  <c:v>0.78760246238930776</c:v>
                </c:pt>
              </c:numCache>
            </c:numRef>
          </c:yVal>
          <c:smooth val="0"/>
          <c:extLst>
            <c:ext xmlns:c16="http://schemas.microsoft.com/office/drawing/2014/chart" uri="{C3380CC4-5D6E-409C-BE32-E72D297353CC}">
              <c16:uniqueId val="{00000000-479F-4096-BCC3-08093A9F2DD8}"/>
            </c:ext>
          </c:extLst>
        </c:ser>
        <c:dLbls>
          <c:showLegendKey val="0"/>
          <c:showVal val="0"/>
          <c:showCatName val="0"/>
          <c:showSerName val="0"/>
          <c:showPercent val="0"/>
          <c:showBubbleSize val="0"/>
        </c:dLbls>
        <c:axId val="-916451712"/>
        <c:axId val="-916451168"/>
      </c:scatterChart>
      <c:valAx>
        <c:axId val="-916451712"/>
        <c:scaling>
          <c:orientation val="minMax"/>
          <c:max val="30"/>
        </c:scaling>
        <c:delete val="0"/>
        <c:axPos val="b"/>
        <c:majorGridlines>
          <c:spPr>
            <a:ln w="9525" cap="flat" cmpd="sng" algn="ctr">
              <a:noFill/>
              <a:round/>
            </a:ln>
            <a:effectLst/>
          </c:spPr>
        </c:majorGridlines>
        <c:title>
          <c:tx>
            <c:rich>
              <a:bodyPr rot="0" vert="horz"/>
              <a:lstStyle/>
              <a:p>
                <a:pPr>
                  <a:defRPr sz="1000" b="0"/>
                </a:pPr>
                <a:r>
                  <a:rPr lang="vi-VN" sz="1000" b="0"/>
                  <a:t>C</a:t>
                </a:r>
                <a:r>
                  <a:rPr lang="vi-VN" sz="1000" b="0" baseline="-25000"/>
                  <a:t>e</a:t>
                </a:r>
              </a:p>
            </c:rich>
          </c:tx>
          <c:layout>
            <c:manualLayout>
              <c:xMode val="edge"/>
              <c:yMode val="edge"/>
              <c:x val="0.45589159494598053"/>
              <c:y val="0.91483113069016153"/>
            </c:manualLayout>
          </c:layout>
          <c:overlay val="0"/>
          <c:spPr>
            <a:noFill/>
            <a:ln>
              <a:noFill/>
            </a:ln>
            <a:effectLst/>
          </c:spPr>
        </c:title>
        <c:numFmt formatCode="General" sourceLinked="1"/>
        <c:majorTickMark val="none"/>
        <c:minorTickMark val="none"/>
        <c:tickLblPos val="nextTo"/>
        <c:spPr>
          <a:noFill/>
          <a:ln>
            <a:solidFill>
              <a:schemeClr val="tx2">
                <a:lumMod val="40000"/>
                <a:lumOff val="60000"/>
              </a:schemeClr>
            </a:solidFill>
          </a:ln>
          <a:effectLst/>
        </c:spPr>
        <c:txPr>
          <a:bodyPr rot="-60000000" vert="horz"/>
          <a:lstStyle/>
          <a:p>
            <a:pPr>
              <a:defRPr/>
            </a:pPr>
            <a:endParaRPr lang="en-US"/>
          </a:p>
        </c:txPr>
        <c:crossAx val="-916451168"/>
        <c:crosses val="autoZero"/>
        <c:crossBetween val="midCat"/>
      </c:valAx>
      <c:valAx>
        <c:axId val="-916451168"/>
        <c:scaling>
          <c:orientation val="minMax"/>
          <c:max val="1"/>
        </c:scaling>
        <c:delete val="0"/>
        <c:axPos val="l"/>
        <c:majorGridlines>
          <c:spPr>
            <a:ln w="9525" cap="flat" cmpd="sng" algn="ctr">
              <a:noFill/>
              <a:round/>
            </a:ln>
            <a:effectLst/>
          </c:spPr>
        </c:majorGridlines>
        <c:title>
          <c:tx>
            <c:rich>
              <a:bodyPr rot="-5400000" vert="horz"/>
              <a:lstStyle/>
              <a:p>
                <a:pPr>
                  <a:defRPr sz="1000" b="0"/>
                </a:pPr>
                <a:r>
                  <a:rPr lang="vi-VN" sz="1000" b="0"/>
                  <a:t>C</a:t>
                </a:r>
                <a:r>
                  <a:rPr lang="vi-VN" sz="1000" b="0" baseline="-25000"/>
                  <a:t>e</a:t>
                </a:r>
                <a:r>
                  <a:rPr lang="vi-VN" sz="1000" b="0"/>
                  <a:t>/q</a:t>
                </a:r>
                <a:r>
                  <a:rPr lang="vi-VN" sz="1000" b="0" baseline="-25000"/>
                  <a:t>e</a:t>
                </a:r>
              </a:p>
            </c:rich>
          </c:tx>
          <c:layout>
            <c:manualLayout>
              <c:xMode val="edge"/>
              <c:yMode val="edge"/>
              <c:x val="1.1594889145161415E-2"/>
              <c:y val="0.37668919337838674"/>
            </c:manualLayout>
          </c:layout>
          <c:overlay val="0"/>
          <c:spPr>
            <a:noFill/>
            <a:ln>
              <a:noFill/>
            </a:ln>
            <a:effectLst/>
          </c:spPr>
        </c:title>
        <c:numFmt formatCode="0.0" sourceLinked="0"/>
        <c:majorTickMark val="none"/>
        <c:minorTickMark val="none"/>
        <c:tickLblPos val="nextTo"/>
        <c:spPr>
          <a:noFill/>
          <a:ln>
            <a:solidFill>
              <a:schemeClr val="tx2">
                <a:lumMod val="40000"/>
                <a:lumOff val="60000"/>
              </a:schemeClr>
            </a:solidFill>
          </a:ln>
          <a:effectLst/>
        </c:spPr>
        <c:txPr>
          <a:bodyPr rot="-60000000" vert="horz"/>
          <a:lstStyle/>
          <a:p>
            <a:pPr>
              <a:defRPr/>
            </a:pPr>
            <a:endParaRPr lang="en-US"/>
          </a:p>
        </c:txPr>
        <c:crossAx val="-916451712"/>
        <c:crosses val="autoZero"/>
        <c:crossBetween val="midCat"/>
      </c:valAx>
      <c:spPr>
        <a:noFill/>
        <a:ln>
          <a:noFill/>
        </a:ln>
        <a:effectLst/>
      </c:spPr>
    </c:plotArea>
    <c:plotVisOnly val="1"/>
    <c:dispBlanksAs val="gap"/>
    <c:showDLblsOverMax val="0"/>
  </c:chart>
  <c:spPr>
    <a:solidFill>
      <a:schemeClr val="bg1"/>
    </a:solidFill>
    <a:ln w="19050" cap="flat" cmpd="sng" algn="ctr">
      <a:noFill/>
      <a:round/>
    </a:ln>
    <a:effectLst/>
  </c:spPr>
  <c:txPr>
    <a:bodyPr/>
    <a:lstStyle/>
    <a:p>
      <a:pPr algn="just">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63249050046145"/>
          <c:y val="8.3333333333333329E-2"/>
          <c:w val="0.73568957919330835"/>
          <c:h val="0.7206261189182338"/>
        </c:manualLayout>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21932958617765178"/>
                  <c:y val="0.31103281103946512"/>
                </c:manualLayout>
              </c:layout>
              <c:tx>
                <c:rich>
                  <a:bodyPr rot="0" vert="horz"/>
                  <a:lstStyle/>
                  <a:p>
                    <a:pPr>
                      <a:defRPr/>
                    </a:pPr>
                    <a:r>
                      <a:rPr lang="en-US" baseline="0"/>
                      <a:t>y = 0.7637x + 0.4248
R² = 0.9946</a:t>
                    </a:r>
                    <a:endParaRPr lang="en-US"/>
                  </a:p>
                </c:rich>
              </c:tx>
              <c:numFmt formatCode="General" sourceLinked="0"/>
              <c:spPr>
                <a:noFill/>
                <a:ln>
                  <a:noFill/>
                </a:ln>
                <a:effectLst/>
              </c:spPr>
            </c:trendlineLbl>
          </c:trendline>
          <c:xVal>
            <c:numRef>
              <c:f>'Đằng nhiệt freudlich'!$E$3:$E$6</c:f>
              <c:numCache>
                <c:formatCode>0.000</c:formatCode>
                <c:ptCount val="4"/>
                <c:pt idx="0">
                  <c:v>0.55010599934759274</c:v>
                </c:pt>
                <c:pt idx="1">
                  <c:v>0.88371820196395956</c:v>
                </c:pt>
                <c:pt idx="2">
                  <c:v>1.1924280553312072</c:v>
                </c:pt>
                <c:pt idx="3">
                  <c:v>1.3788519464488811</c:v>
                </c:pt>
              </c:numCache>
            </c:numRef>
          </c:xVal>
          <c:yVal>
            <c:numRef>
              <c:f>'Đằng nhiệt freudlich'!$F$3:$F$6</c:f>
              <c:numCache>
                <c:formatCode>0.000</c:formatCode>
                <c:ptCount val="4"/>
                <c:pt idx="0">
                  <c:v>0.86063741677375472</c:v>
                </c:pt>
                <c:pt idx="1">
                  <c:v>1.0698899965069384</c:v>
                </c:pt>
                <c:pt idx="2">
                  <c:v>1.3449225358538366</c:v>
                </c:pt>
                <c:pt idx="3">
                  <c:v>1.4825448811864357</c:v>
                </c:pt>
              </c:numCache>
            </c:numRef>
          </c:yVal>
          <c:smooth val="0"/>
          <c:extLst>
            <c:ext xmlns:c16="http://schemas.microsoft.com/office/drawing/2014/chart" uri="{C3380CC4-5D6E-409C-BE32-E72D297353CC}">
              <c16:uniqueId val="{00000001-E434-46C0-A0B9-A3E2EA72E6EF}"/>
            </c:ext>
          </c:extLst>
        </c:ser>
        <c:dLbls>
          <c:showLegendKey val="0"/>
          <c:showVal val="0"/>
          <c:showCatName val="0"/>
          <c:showSerName val="0"/>
          <c:showPercent val="0"/>
          <c:showBubbleSize val="0"/>
        </c:dLbls>
        <c:axId val="-916450624"/>
        <c:axId val="-916454976"/>
      </c:scatterChart>
      <c:valAx>
        <c:axId val="-916450624"/>
        <c:scaling>
          <c:orientation val="minMax"/>
          <c:min val="0.4"/>
        </c:scaling>
        <c:delete val="0"/>
        <c:axPos val="b"/>
        <c:majorGridlines>
          <c:spPr>
            <a:ln w="6350" cap="flat" cmpd="sng" algn="ctr">
              <a:solidFill>
                <a:schemeClr val="tx1">
                  <a:lumMod val="15000"/>
                  <a:lumOff val="85000"/>
                </a:schemeClr>
              </a:solidFill>
              <a:round/>
            </a:ln>
            <a:effectLst/>
          </c:spPr>
        </c:majorGridlines>
        <c:title>
          <c:tx>
            <c:rich>
              <a:bodyPr rot="0" vert="horz"/>
              <a:lstStyle/>
              <a:p>
                <a:pPr>
                  <a:defRPr sz="1000" b="0"/>
                </a:pPr>
                <a:r>
                  <a:rPr lang="en-US" sz="1000" b="0"/>
                  <a:t>logC</a:t>
                </a:r>
                <a:r>
                  <a:rPr lang="en-US" sz="1000" b="0" baseline="-25000"/>
                  <a:t>e</a:t>
                </a:r>
                <a:endParaRPr lang="vi-VN" sz="1000" b="0" baseline="-25000"/>
              </a:p>
            </c:rich>
          </c:tx>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916454976"/>
        <c:crosses val="autoZero"/>
        <c:crossBetween val="midCat"/>
      </c:valAx>
      <c:valAx>
        <c:axId val="-916454976"/>
        <c:scaling>
          <c:orientation val="minMax"/>
          <c:min val="0.4"/>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1000" b="0"/>
                </a:pPr>
                <a:r>
                  <a:rPr lang="en-US" sz="1000" b="0"/>
                  <a:t>logq</a:t>
                </a:r>
                <a:r>
                  <a:rPr lang="en-US" sz="1000" b="0" baseline="-25000"/>
                  <a:t>e</a:t>
                </a:r>
                <a:endParaRPr lang="vi-VN" sz="1000" b="0" baseline="-25000"/>
              </a:p>
            </c:rich>
          </c:tx>
          <c:layout>
            <c:manualLayout>
              <c:xMode val="edge"/>
              <c:yMode val="edge"/>
              <c:x val="3.1573716007392569E-3"/>
              <c:y val="0.38846462796801562"/>
            </c:manualLayout>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916450624"/>
        <c:crosses val="autoZero"/>
        <c:crossBetween val="midCat"/>
      </c:valAx>
      <c:spPr>
        <a:noFill/>
        <a:ln>
          <a:noFill/>
        </a:ln>
        <a:effectLst/>
      </c:spPr>
    </c:plotArea>
    <c:plotVisOnly val="1"/>
    <c:dispBlanksAs val="gap"/>
    <c:showDLblsOverMax val="0"/>
  </c:chart>
  <c:spPr>
    <a:solidFill>
      <a:schemeClr val="bg1"/>
    </a:solidFill>
    <a:ln w="19050"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535298307760431"/>
          <c:y val="5.0925925925925923E-2"/>
          <c:w val="0.72474481643339816"/>
          <c:h val="0.76209179342196465"/>
        </c:manualLayout>
      </c:layout>
      <c:scatterChart>
        <c:scatterStyle val="lineMarker"/>
        <c:varyColors val="0"/>
        <c:ser>
          <c:idx val="0"/>
          <c:order val="0"/>
          <c:trendline>
            <c:trendlineType val="linear"/>
            <c:dispRSqr val="1"/>
            <c:dispEq val="1"/>
            <c:trendlineLbl>
              <c:layout>
                <c:manualLayout>
                  <c:x val="8.3318073612891411E-2"/>
                  <c:y val="-0.22867688413948256"/>
                </c:manualLayout>
              </c:layout>
              <c:tx>
                <c:rich>
                  <a:bodyPr/>
                  <a:lstStyle/>
                  <a:p>
                    <a:pPr>
                      <a:defRPr/>
                    </a:pPr>
                    <a:r>
                      <a:rPr lang="en-US" baseline="0"/>
                      <a:t>y = -3.2384x + 3.1614
R² = 0.805</a:t>
                    </a:r>
                    <a:endParaRPr lang="en-US"/>
                  </a:p>
                </c:rich>
              </c:tx>
              <c:numFmt formatCode="General" sourceLinked="0"/>
            </c:trendlineLbl>
          </c:trendline>
          <c:xVal>
            <c:numRef>
              <c:f>'Đẳng nhiệt Dubinin-Radushkevich'!$G$2:$G$5</c:f>
              <c:numCache>
                <c:formatCode>0.000</c:formatCode>
                <c:ptCount val="4"/>
                <c:pt idx="0">
                  <c:v>0.39091927996268855</c:v>
                </c:pt>
                <c:pt idx="1">
                  <c:v>9.5721077486228143E-2</c:v>
                </c:pt>
                <c:pt idx="2">
                  <c:v>2.4564978608753396E-2</c:v>
                </c:pt>
                <c:pt idx="3">
                  <c:v>1.0636293931049742E-2</c:v>
                </c:pt>
              </c:numCache>
            </c:numRef>
          </c:xVal>
          <c:yVal>
            <c:numRef>
              <c:f>'Đẳng nhiệt Dubinin-Radushkevich'!$H$2:$H$5</c:f>
              <c:numCache>
                <c:formatCode>0.000</c:formatCode>
                <c:ptCount val="4"/>
                <c:pt idx="0">
                  <c:v>1.9816908863361511</c:v>
                </c:pt>
                <c:pt idx="1">
                  <c:v>2.4635127571003279</c:v>
                </c:pt>
                <c:pt idx="2">
                  <c:v>3.0967985822887938</c:v>
                </c:pt>
                <c:pt idx="3">
                  <c:v>3.4136857431145158</c:v>
                </c:pt>
              </c:numCache>
            </c:numRef>
          </c:yVal>
          <c:smooth val="0"/>
          <c:extLst>
            <c:ext xmlns:c16="http://schemas.microsoft.com/office/drawing/2014/chart" uri="{C3380CC4-5D6E-409C-BE32-E72D297353CC}">
              <c16:uniqueId val="{00000000-D770-41E9-9B4E-501B09506F93}"/>
            </c:ext>
          </c:extLst>
        </c:ser>
        <c:dLbls>
          <c:showLegendKey val="0"/>
          <c:showVal val="0"/>
          <c:showCatName val="0"/>
          <c:showSerName val="0"/>
          <c:showPercent val="0"/>
          <c:showBubbleSize val="0"/>
        </c:dLbls>
        <c:axId val="-916450080"/>
        <c:axId val="-916448992"/>
      </c:scatterChart>
      <c:valAx>
        <c:axId val="-916450080"/>
        <c:scaling>
          <c:orientation val="minMax"/>
        </c:scaling>
        <c:delete val="0"/>
        <c:axPos val="b"/>
        <c:title>
          <c:tx>
            <c:rich>
              <a:bodyPr/>
              <a:lstStyle/>
              <a:p>
                <a:pPr>
                  <a:defRPr sz="1100"/>
                </a:pPr>
                <a:r>
                  <a:rPr lang="en-US" sz="1100">
                    <a:sym typeface="Symbol"/>
                  </a:rPr>
                  <a:t></a:t>
                </a:r>
                <a:r>
                  <a:rPr lang="en-US" sz="1100" baseline="30000">
                    <a:sym typeface="Symbol"/>
                  </a:rPr>
                  <a:t>2</a:t>
                </a:r>
                <a:endParaRPr lang="en-US" sz="1100"/>
              </a:p>
            </c:rich>
          </c:tx>
          <c:layout>
            <c:manualLayout>
              <c:xMode val="edge"/>
              <c:yMode val="edge"/>
              <c:x val="0.49170472440944885"/>
              <c:y val="0.9155092592592593"/>
            </c:manualLayout>
          </c:layout>
          <c:overlay val="0"/>
        </c:title>
        <c:numFmt formatCode="General" sourceLinked="0"/>
        <c:majorTickMark val="out"/>
        <c:minorTickMark val="none"/>
        <c:tickLblPos val="nextTo"/>
        <c:crossAx val="-916448992"/>
        <c:crosses val="autoZero"/>
        <c:crossBetween val="midCat"/>
      </c:valAx>
      <c:valAx>
        <c:axId val="-916448992"/>
        <c:scaling>
          <c:orientation val="minMax"/>
        </c:scaling>
        <c:delete val="0"/>
        <c:axPos val="l"/>
        <c:majorGridlines>
          <c:spPr>
            <a:ln>
              <a:noFill/>
            </a:ln>
          </c:spPr>
        </c:majorGridlines>
        <c:title>
          <c:tx>
            <c:rich>
              <a:bodyPr rot="-5400000" vert="horz"/>
              <a:lstStyle/>
              <a:p>
                <a:pPr>
                  <a:defRPr sz="1100"/>
                </a:pPr>
                <a:r>
                  <a:rPr lang="en-US" sz="1100"/>
                  <a:t>ln q</a:t>
                </a:r>
                <a:r>
                  <a:rPr lang="en-US" sz="1100" baseline="-25000"/>
                  <a:t>e</a:t>
                </a:r>
              </a:p>
            </c:rich>
          </c:tx>
          <c:layout>
            <c:manualLayout>
              <c:xMode val="edge"/>
              <c:yMode val="edge"/>
              <c:x val="9.2281924417149559E-3"/>
              <c:y val="0.33111144239500184"/>
            </c:manualLayout>
          </c:layout>
          <c:overlay val="0"/>
        </c:title>
        <c:numFmt formatCode="General" sourceLinked="0"/>
        <c:majorTickMark val="out"/>
        <c:minorTickMark val="none"/>
        <c:tickLblPos val="nextTo"/>
        <c:crossAx val="-916450080"/>
        <c:crosses val="autoZero"/>
        <c:crossBetween val="midCat"/>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0.53314</cdr:x>
      <cdr:y>0.48811</cdr:y>
    </cdr:from>
    <cdr:to>
      <cdr:x>0.72444</cdr:x>
      <cdr:y>0.73216</cdr:y>
    </cdr:to>
    <cdr:sp macro="" textlink="">
      <cdr:nvSpPr>
        <cdr:cNvPr id="2" name="Rectangle 1"/>
        <cdr:cNvSpPr/>
      </cdr:nvSpPr>
      <cdr:spPr>
        <a:xfrm xmlns:a="http://schemas.openxmlformats.org/drawingml/2006/main">
          <a:off x="1751965" y="1055370"/>
          <a:ext cx="628650" cy="52768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3BD26-F6AD-4E18-BDF4-9DC182C99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Template>
  <TotalTime>0</TotalTime>
  <Pages>10</Pages>
  <Words>4389</Words>
  <Characters>26866</Characters>
  <Application>Microsoft Office Word</Application>
  <DocSecurity>0</DocSecurity>
  <Lines>767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CTUJoISD Editor</cp:lastModifiedBy>
  <cp:revision>2</cp:revision>
  <cp:lastPrinted>2023-07-13T03:16:00Z</cp:lastPrinted>
  <dcterms:created xsi:type="dcterms:W3CDTF">2023-10-06T03:49:00Z</dcterms:created>
  <dcterms:modified xsi:type="dcterms:W3CDTF">2023-10-06T03:49:00Z</dcterms:modified>
</cp:coreProperties>
</file>